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393" w:type="dxa"/>
        <w:tblCellMar>
          <w:left w:w="70" w:type="dxa"/>
          <w:right w:w="70" w:type="dxa"/>
        </w:tblCellMar>
        <w:tblLook w:val="04A0" w:firstRow="1" w:lastRow="0" w:firstColumn="1" w:lastColumn="0" w:noHBand="0" w:noVBand="1"/>
      </w:tblPr>
      <w:tblGrid>
        <w:gridCol w:w="597"/>
        <w:gridCol w:w="1843"/>
        <w:gridCol w:w="1265"/>
        <w:gridCol w:w="1493"/>
        <w:gridCol w:w="1623"/>
        <w:gridCol w:w="362"/>
        <w:gridCol w:w="362"/>
        <w:gridCol w:w="362"/>
        <w:gridCol w:w="362"/>
        <w:gridCol w:w="362"/>
        <w:gridCol w:w="401"/>
        <w:gridCol w:w="401"/>
        <w:gridCol w:w="401"/>
        <w:gridCol w:w="401"/>
        <w:gridCol w:w="2862"/>
        <w:gridCol w:w="2296"/>
      </w:tblGrid>
      <w:tr w:rsidR="00BD2464">
        <w:trPr>
          <w:trHeight w:val="1635"/>
        </w:trPr>
        <w:tc>
          <w:tcPr>
            <w:tcW w:w="12784" w:type="dxa"/>
            <w:gridSpan w:val="15"/>
            <w:tcBorders>
              <w:top w:val="nil"/>
              <w:left w:val="nil"/>
              <w:bottom w:val="nil"/>
              <w:right w:val="single" w:sz="4" w:space="0" w:color="000000"/>
            </w:tcBorders>
            <w:shd w:val="clear" w:color="auto" w:fill="auto"/>
            <w:noWrap/>
            <w:vAlign w:val="bottom"/>
          </w:tcPr>
          <w:p w:rsidR="00BD2464" w:rsidRDefault="00BD2464">
            <w:pPr>
              <w:spacing w:after="0" w:line="240" w:lineRule="auto"/>
              <w:rPr>
                <w:rFonts w:ascii="Arial" w:eastAsia="Times New Roman" w:hAnsi="Arial" w:cs="Arial"/>
                <w:color w:val="000000"/>
                <w:sz w:val="20"/>
                <w:szCs w:val="20"/>
                <w:lang w:eastAsia="es-ES"/>
              </w:rPr>
            </w:pPr>
          </w:p>
          <w:tbl>
            <w:tblPr>
              <w:tblW w:w="0" w:type="auto"/>
              <w:tblCellSpacing w:w="0" w:type="dxa"/>
              <w:tblCellMar>
                <w:left w:w="0" w:type="dxa"/>
                <w:right w:w="0" w:type="dxa"/>
              </w:tblCellMar>
              <w:tblLook w:val="04A0" w:firstRow="1" w:lastRow="0" w:firstColumn="1" w:lastColumn="0" w:noHBand="0" w:noVBand="1"/>
            </w:tblPr>
            <w:tblGrid>
              <w:gridCol w:w="12947"/>
            </w:tblGrid>
            <w:tr w:rsidR="00BD2464">
              <w:trPr>
                <w:trHeight w:val="1635"/>
                <w:tblCellSpacing w:w="0" w:type="dxa"/>
              </w:trPr>
              <w:tc>
                <w:tcPr>
                  <w:tcW w:w="268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52"/>
                      <w:szCs w:val="52"/>
                      <w:lang w:eastAsia="es-ES"/>
                    </w:rPr>
                  </w:pPr>
                  <w:r>
                    <w:rPr>
                      <w:rFonts w:ascii="Arial" w:eastAsia="Times New Roman" w:hAnsi="Arial" w:cs="Arial"/>
                      <w:noProof/>
                      <w:color w:val="000000"/>
                      <w:sz w:val="20"/>
                      <w:szCs w:val="20"/>
                      <w:lang w:eastAsia="es-ES"/>
                    </w:rPr>
                    <w:drawing>
                      <wp:anchor distT="0" distB="0" distL="114300" distR="114300" simplePos="0" relativeHeight="251659264" behindDoc="0" locked="0" layoutInCell="1" allowOverlap="1">
                        <wp:simplePos x="0" y="0"/>
                        <wp:positionH relativeFrom="column">
                          <wp:posOffset>60325</wp:posOffset>
                        </wp:positionH>
                        <wp:positionV relativeFrom="paragraph">
                          <wp:posOffset>-55245</wp:posOffset>
                        </wp:positionV>
                        <wp:extent cx="1666875" cy="523875"/>
                        <wp:effectExtent l="0" t="0" r="9525" b="9525"/>
                        <wp:wrapNone/>
                        <wp:docPr id="2" name="Imagen 2"/>
                        <wp:cNvGraphicFramePr/>
                        <a:graphic xmlns:a="http://schemas.openxmlformats.org/drawingml/2006/main">
                          <a:graphicData uri="http://schemas.openxmlformats.org/drawingml/2006/picture">
                            <pic:pic xmlns:pic="http://schemas.openxmlformats.org/drawingml/2006/picture">
                              <pic:nvPicPr>
                                <pic:cNvPr id="2" name="Imagen 2"/>
                                <pic:cNvPicPr preferRelativeResize="0"/>
                              </pic:nvPicPr>
                              <pic:blipFill>
                                <a:blip r:embed="rId7" cstate="print"/>
                                <a:stretch>
                                  <a:fillRect/>
                                </a:stretch>
                              </pic:blipFill>
                              <pic:spPr>
                                <a:xfrm>
                                  <a:off x="0" y="0"/>
                                  <a:ext cx="1666875" cy="523875"/>
                                </a:xfrm>
                                <a:prstGeom prst="rect">
                                  <a:avLst/>
                                </a:prstGeom>
                                <a:noFill/>
                              </pic:spPr>
                            </pic:pic>
                          </a:graphicData>
                        </a:graphic>
                      </wp:anchor>
                    </w:drawing>
                  </w:r>
                  <w:r>
                    <w:rPr>
                      <w:rFonts w:ascii="Garamond" w:eastAsia="Times New Roman" w:hAnsi="Garamond" w:cs="Arial"/>
                      <w:b/>
                      <w:bCs/>
                      <w:color w:val="000000"/>
                      <w:sz w:val="52"/>
                      <w:szCs w:val="52"/>
                      <w:lang w:eastAsia="es-ES"/>
                    </w:rPr>
                    <w:t>EVIDENCIA DE REUNIÓN</w:t>
                  </w:r>
                </w:p>
              </w:tc>
            </w:tr>
          </w:tbl>
          <w:p w:rsidR="00BD2464" w:rsidRDefault="00BD2464">
            <w:pPr>
              <w:spacing w:after="0" w:line="240" w:lineRule="auto"/>
              <w:rPr>
                <w:rFonts w:ascii="Arial" w:eastAsia="Times New Roman" w:hAnsi="Arial" w:cs="Arial"/>
                <w:color w:val="000000"/>
                <w:sz w:val="20"/>
                <w:szCs w:val="20"/>
                <w:lang w:eastAsia="es-ES"/>
              </w:rPr>
            </w:pPr>
          </w:p>
        </w:tc>
        <w:tc>
          <w:tcPr>
            <w:tcW w:w="2609" w:type="dxa"/>
            <w:tcBorders>
              <w:top w:val="single" w:sz="4" w:space="0" w:color="000000"/>
              <w:left w:val="nil"/>
              <w:bottom w:val="single" w:sz="4" w:space="0" w:color="000000"/>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color w:val="000000"/>
                <w:sz w:val="28"/>
                <w:szCs w:val="28"/>
                <w:lang w:eastAsia="es-ES"/>
              </w:rPr>
            </w:pPr>
            <w:r>
              <w:rPr>
                <w:rFonts w:ascii="Garamond" w:eastAsia="Times New Roman" w:hAnsi="Garamond" w:cs="Arial"/>
                <w:color w:val="000000"/>
                <w:sz w:val="28"/>
                <w:szCs w:val="28"/>
                <w:lang w:eastAsia="es-ES"/>
              </w:rPr>
              <w:t>Código: GDI-GPD-F029</w:t>
            </w:r>
            <w:r>
              <w:rPr>
                <w:rFonts w:ascii="Garamond" w:eastAsia="Times New Roman" w:hAnsi="Garamond" w:cs="Arial"/>
                <w:color w:val="000000"/>
                <w:sz w:val="28"/>
                <w:szCs w:val="28"/>
                <w:lang w:eastAsia="es-ES"/>
              </w:rPr>
              <w:br/>
              <w:t>Versión: 6</w:t>
            </w:r>
            <w:r>
              <w:rPr>
                <w:rFonts w:ascii="Garamond" w:eastAsia="Times New Roman" w:hAnsi="Garamond" w:cs="Arial"/>
                <w:color w:val="000000"/>
                <w:sz w:val="28"/>
                <w:szCs w:val="28"/>
                <w:lang w:eastAsia="es-ES"/>
              </w:rPr>
              <w:br/>
              <w:t>Vigencia: 21 de agosto de 2024</w:t>
            </w:r>
            <w:r>
              <w:rPr>
                <w:rFonts w:ascii="Garamond" w:eastAsia="Times New Roman" w:hAnsi="Garamond" w:cs="Arial"/>
                <w:color w:val="000000"/>
                <w:sz w:val="28"/>
                <w:szCs w:val="28"/>
                <w:lang w:eastAsia="es-ES"/>
              </w:rPr>
              <w:br/>
              <w:t>Caso HOLA: 70103</w:t>
            </w:r>
          </w:p>
        </w:tc>
      </w:tr>
      <w:tr w:rsidR="00BD2464">
        <w:trPr>
          <w:trHeight w:val="930"/>
        </w:trPr>
        <w:tc>
          <w:tcPr>
            <w:tcW w:w="2338"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 xml:space="preserve">Objeto de la reunión: </w:t>
            </w:r>
          </w:p>
        </w:tc>
        <w:tc>
          <w:tcPr>
            <w:tcW w:w="13055" w:type="dxa"/>
            <w:gridSpan w:val="14"/>
            <w:tcBorders>
              <w:top w:val="single" w:sz="4" w:space="0" w:color="000000"/>
              <w:left w:val="nil"/>
              <w:bottom w:val="single" w:sz="4" w:space="0" w:color="000000"/>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Segundo comité técnico, revisión de metodologías y plan de trabajo</w:t>
            </w:r>
          </w:p>
        </w:tc>
      </w:tr>
      <w:tr w:rsidR="00BD2464">
        <w:trPr>
          <w:trHeight w:val="360"/>
        </w:trPr>
        <w:tc>
          <w:tcPr>
            <w:tcW w:w="2338"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Fecha:</w:t>
            </w:r>
          </w:p>
        </w:tc>
        <w:tc>
          <w:tcPr>
            <w:tcW w:w="4191" w:type="dxa"/>
            <w:gridSpan w:val="3"/>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07 de Febrero de 2025</w:t>
            </w:r>
          </w:p>
        </w:tc>
        <w:tc>
          <w:tcPr>
            <w:tcW w:w="3311" w:type="dxa"/>
            <w:gridSpan w:val="9"/>
            <w:vMerge w:val="restart"/>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Hora de inicio: __09:30_____</w:t>
            </w:r>
          </w:p>
        </w:tc>
        <w:tc>
          <w:tcPr>
            <w:tcW w:w="2944" w:type="dxa"/>
            <w:vMerge w:val="restart"/>
            <w:tcBorders>
              <w:top w:val="nil"/>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jc w:val="right"/>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 xml:space="preserve">Modalidad:   </w:t>
            </w:r>
          </w:p>
        </w:tc>
        <w:tc>
          <w:tcPr>
            <w:tcW w:w="260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__XX__ Presencial</w:t>
            </w:r>
          </w:p>
        </w:tc>
      </w:tr>
      <w:tr w:rsidR="00BD2464">
        <w:trPr>
          <w:trHeight w:val="360"/>
        </w:trPr>
        <w:tc>
          <w:tcPr>
            <w:tcW w:w="2338" w:type="dxa"/>
            <w:gridSpan w:val="2"/>
            <w:vMerge/>
            <w:tcBorders>
              <w:top w:val="single" w:sz="4" w:space="0" w:color="000000"/>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 w:val="28"/>
                <w:szCs w:val="32"/>
                <w:lang w:eastAsia="es-ES"/>
              </w:rPr>
            </w:pPr>
          </w:p>
        </w:tc>
        <w:tc>
          <w:tcPr>
            <w:tcW w:w="4191" w:type="dxa"/>
            <w:gridSpan w:val="3"/>
            <w:vMerge/>
            <w:tcBorders>
              <w:top w:val="single" w:sz="4" w:space="0" w:color="000000"/>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 w:val="28"/>
                <w:szCs w:val="32"/>
                <w:lang w:eastAsia="es-ES"/>
              </w:rPr>
            </w:pPr>
          </w:p>
        </w:tc>
        <w:tc>
          <w:tcPr>
            <w:tcW w:w="3311" w:type="dxa"/>
            <w:gridSpan w:val="9"/>
            <w:vMerge/>
            <w:tcBorders>
              <w:top w:val="single" w:sz="4" w:space="0" w:color="000000"/>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 w:val="28"/>
                <w:szCs w:val="32"/>
                <w:lang w:eastAsia="es-ES"/>
              </w:rPr>
            </w:pPr>
          </w:p>
        </w:tc>
        <w:tc>
          <w:tcPr>
            <w:tcW w:w="2944" w:type="dxa"/>
            <w:vMerge/>
            <w:tcBorders>
              <w:top w:val="nil"/>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 w:val="28"/>
                <w:szCs w:val="32"/>
                <w:lang w:eastAsia="es-ES"/>
              </w:rPr>
            </w:pPr>
          </w:p>
        </w:tc>
        <w:tc>
          <w:tcPr>
            <w:tcW w:w="260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____ Virtual</w:t>
            </w:r>
          </w:p>
        </w:tc>
      </w:tr>
      <w:tr w:rsidR="00BD2464">
        <w:trPr>
          <w:trHeight w:val="360"/>
        </w:trPr>
        <w:tc>
          <w:tcPr>
            <w:tcW w:w="2338"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 xml:space="preserve">Lugar: </w:t>
            </w:r>
          </w:p>
        </w:tc>
        <w:tc>
          <w:tcPr>
            <w:tcW w:w="4191" w:type="dxa"/>
            <w:gridSpan w:val="3"/>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Alcaldía Local de Tunjuelito Piso 6</w:t>
            </w:r>
          </w:p>
        </w:tc>
        <w:tc>
          <w:tcPr>
            <w:tcW w:w="3311" w:type="dxa"/>
            <w:gridSpan w:val="9"/>
            <w:vMerge w:val="restart"/>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Hora de finalización: _12:30____</w:t>
            </w:r>
          </w:p>
        </w:tc>
        <w:tc>
          <w:tcPr>
            <w:tcW w:w="2944" w:type="dxa"/>
            <w:vMerge/>
            <w:tcBorders>
              <w:top w:val="nil"/>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 w:val="28"/>
                <w:szCs w:val="32"/>
                <w:lang w:eastAsia="es-ES"/>
              </w:rPr>
            </w:pPr>
          </w:p>
        </w:tc>
        <w:tc>
          <w:tcPr>
            <w:tcW w:w="260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____ Telefónica</w:t>
            </w:r>
          </w:p>
        </w:tc>
      </w:tr>
      <w:tr w:rsidR="00BD2464">
        <w:trPr>
          <w:trHeight w:val="360"/>
        </w:trPr>
        <w:tc>
          <w:tcPr>
            <w:tcW w:w="2338" w:type="dxa"/>
            <w:gridSpan w:val="2"/>
            <w:vMerge/>
            <w:tcBorders>
              <w:top w:val="single" w:sz="4" w:space="0" w:color="000000"/>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 w:val="28"/>
                <w:szCs w:val="32"/>
                <w:lang w:eastAsia="es-ES"/>
              </w:rPr>
            </w:pPr>
          </w:p>
        </w:tc>
        <w:tc>
          <w:tcPr>
            <w:tcW w:w="4191" w:type="dxa"/>
            <w:gridSpan w:val="3"/>
            <w:vMerge/>
            <w:tcBorders>
              <w:top w:val="single" w:sz="4" w:space="0" w:color="000000"/>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 w:val="28"/>
                <w:szCs w:val="32"/>
                <w:lang w:eastAsia="es-ES"/>
              </w:rPr>
            </w:pPr>
          </w:p>
        </w:tc>
        <w:tc>
          <w:tcPr>
            <w:tcW w:w="3311" w:type="dxa"/>
            <w:gridSpan w:val="9"/>
            <w:vMerge/>
            <w:tcBorders>
              <w:top w:val="single" w:sz="4" w:space="0" w:color="000000"/>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 w:val="28"/>
                <w:szCs w:val="32"/>
                <w:lang w:eastAsia="es-ES"/>
              </w:rPr>
            </w:pPr>
          </w:p>
        </w:tc>
        <w:tc>
          <w:tcPr>
            <w:tcW w:w="2944" w:type="dxa"/>
            <w:vMerge/>
            <w:tcBorders>
              <w:top w:val="nil"/>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 w:val="28"/>
                <w:szCs w:val="32"/>
                <w:lang w:eastAsia="es-ES"/>
              </w:rPr>
            </w:pPr>
          </w:p>
        </w:tc>
        <w:tc>
          <w:tcPr>
            <w:tcW w:w="260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____ Mixta</w:t>
            </w:r>
          </w:p>
        </w:tc>
      </w:tr>
      <w:tr w:rsidR="00BD2464">
        <w:trPr>
          <w:trHeight w:val="495"/>
        </w:trPr>
        <w:tc>
          <w:tcPr>
            <w:tcW w:w="2338"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Dependencia:</w:t>
            </w:r>
          </w:p>
        </w:tc>
        <w:tc>
          <w:tcPr>
            <w:tcW w:w="4191" w:type="dxa"/>
            <w:gridSpan w:val="3"/>
            <w:tcBorders>
              <w:top w:val="single" w:sz="4" w:space="0" w:color="000000"/>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Planeación</w:t>
            </w:r>
          </w:p>
        </w:tc>
        <w:tc>
          <w:tcPr>
            <w:tcW w:w="8864" w:type="dxa"/>
            <w:gridSpan w:val="11"/>
            <w:tcBorders>
              <w:top w:val="single" w:sz="4" w:space="0" w:color="000000"/>
              <w:left w:val="nil"/>
              <w:bottom w:val="single" w:sz="4" w:space="0" w:color="000000"/>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b/>
                <w:bCs/>
                <w:color w:val="000000"/>
                <w:sz w:val="28"/>
                <w:szCs w:val="32"/>
                <w:lang w:eastAsia="es-ES"/>
              </w:rPr>
            </w:pPr>
            <w:r>
              <w:rPr>
                <w:rFonts w:ascii="Garamond" w:eastAsia="Times New Roman" w:hAnsi="Garamond" w:cs="Arial"/>
                <w:b/>
                <w:bCs/>
                <w:color w:val="000000"/>
                <w:sz w:val="28"/>
                <w:szCs w:val="32"/>
                <w:lang w:eastAsia="es-ES"/>
              </w:rPr>
              <w:t>Nombre del Responsable: Pedro Pablo Ángel Méndez</w:t>
            </w:r>
          </w:p>
        </w:tc>
      </w:tr>
      <w:tr w:rsidR="00BD2464">
        <w:trPr>
          <w:trHeight w:val="885"/>
        </w:trPr>
        <w:tc>
          <w:tcPr>
            <w:tcW w:w="576" w:type="dxa"/>
            <w:vMerge w:val="restart"/>
            <w:tcBorders>
              <w:top w:val="nil"/>
              <w:left w:val="single" w:sz="4" w:space="0" w:color="000000"/>
              <w:bottom w:val="single" w:sz="4" w:space="0" w:color="000000"/>
              <w:right w:val="single" w:sz="4" w:space="0" w:color="000000"/>
            </w:tcBorders>
            <w:shd w:val="clear" w:color="FFFFFF" w:fill="FFFFFF"/>
            <w:textDirection w:val="btLr"/>
            <w:vAlign w:val="center"/>
          </w:tcPr>
          <w:p w:rsidR="00BD2464" w:rsidRDefault="0054101D">
            <w:pPr>
              <w:spacing w:after="0" w:line="240" w:lineRule="auto"/>
              <w:jc w:val="center"/>
              <w:rPr>
                <w:rFonts w:ascii="Garamond" w:eastAsia="Times New Roman" w:hAnsi="Garamond" w:cs="Arial"/>
                <w:b/>
                <w:bCs/>
                <w:color w:val="000000"/>
                <w:szCs w:val="24"/>
                <w:lang w:eastAsia="es-ES"/>
              </w:rPr>
            </w:pPr>
            <w:r>
              <w:rPr>
                <w:rFonts w:ascii="Garamond" w:eastAsia="Times New Roman" w:hAnsi="Garamond" w:cs="Arial"/>
                <w:b/>
                <w:bCs/>
                <w:color w:val="000000"/>
                <w:szCs w:val="24"/>
                <w:lang w:eastAsia="es-ES"/>
              </w:rPr>
              <w:t>TIPO DE DOCUMENTO</w:t>
            </w:r>
          </w:p>
        </w:tc>
        <w:tc>
          <w:tcPr>
            <w:tcW w:w="1762" w:type="dxa"/>
            <w:vMerge w:val="restart"/>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NÚMERO DE DOCUMENTO DE IDENTIFICACIÓN</w:t>
            </w:r>
          </w:p>
        </w:tc>
        <w:tc>
          <w:tcPr>
            <w:tcW w:w="1211" w:type="dxa"/>
            <w:vMerge w:val="restart"/>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NOMBRES Y APELLIDOS</w:t>
            </w:r>
            <w:r>
              <w:rPr>
                <w:rFonts w:ascii="Garamond" w:eastAsia="Times New Roman" w:hAnsi="Garamond" w:cs="Arial"/>
                <w:b/>
                <w:bCs/>
                <w:color w:val="000000"/>
                <w:szCs w:val="28"/>
                <w:lang w:eastAsia="es-ES"/>
              </w:rPr>
              <w:br/>
            </w:r>
            <w:r>
              <w:rPr>
                <w:rFonts w:ascii="Garamond" w:eastAsia="Times New Roman" w:hAnsi="Garamond" w:cs="Arial"/>
                <w:color w:val="000000"/>
                <w:szCs w:val="28"/>
                <w:lang w:eastAsia="es-ES"/>
              </w:rPr>
              <w:t xml:space="preserve">(Jurídico o legal) </w:t>
            </w:r>
          </w:p>
        </w:tc>
        <w:tc>
          <w:tcPr>
            <w:tcW w:w="1428" w:type="dxa"/>
            <w:vMerge w:val="restart"/>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 xml:space="preserve">NOMBRE </w:t>
            </w:r>
            <w:r>
              <w:rPr>
                <w:rFonts w:ascii="Garamond" w:eastAsia="Times New Roman" w:hAnsi="Garamond" w:cs="Arial"/>
                <w:b/>
                <w:bCs/>
                <w:color w:val="000000"/>
                <w:szCs w:val="28"/>
                <w:lang w:eastAsia="es-ES"/>
              </w:rPr>
              <w:br/>
              <w:t>IDENTITARIO</w:t>
            </w:r>
          </w:p>
        </w:tc>
        <w:tc>
          <w:tcPr>
            <w:tcW w:w="1552" w:type="dxa"/>
            <w:vMerge w:val="restart"/>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ENTIDAD  Y DEPENDENCIA</w:t>
            </w:r>
          </w:p>
        </w:tc>
        <w:tc>
          <w:tcPr>
            <w:tcW w:w="1755" w:type="dxa"/>
            <w:gridSpan w:val="5"/>
            <w:tcBorders>
              <w:top w:val="single" w:sz="4" w:space="0" w:color="000000"/>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CARGO</w:t>
            </w:r>
          </w:p>
        </w:tc>
        <w:tc>
          <w:tcPr>
            <w:tcW w:w="1556" w:type="dxa"/>
            <w:gridSpan w:val="4"/>
            <w:tcBorders>
              <w:top w:val="single" w:sz="4" w:space="0" w:color="000000"/>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TIPO DE VINCULACIÓN</w:t>
            </w:r>
          </w:p>
        </w:tc>
        <w:tc>
          <w:tcPr>
            <w:tcW w:w="2944" w:type="dxa"/>
            <w:vMerge w:val="restart"/>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CORREO ELECTRÓNICO - TELÉFONO DE CONTACTO</w:t>
            </w:r>
          </w:p>
        </w:tc>
        <w:tc>
          <w:tcPr>
            <w:tcW w:w="2609" w:type="dxa"/>
            <w:vMerge w:val="restart"/>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 xml:space="preserve">FIRMA </w:t>
            </w:r>
          </w:p>
        </w:tc>
      </w:tr>
      <w:tr w:rsidR="00BD2464">
        <w:trPr>
          <w:trHeight w:val="2475"/>
        </w:trPr>
        <w:tc>
          <w:tcPr>
            <w:tcW w:w="576" w:type="dxa"/>
            <w:vMerge/>
            <w:tcBorders>
              <w:top w:val="nil"/>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Cs w:val="24"/>
                <w:lang w:eastAsia="es-ES"/>
              </w:rPr>
            </w:pPr>
          </w:p>
        </w:tc>
        <w:tc>
          <w:tcPr>
            <w:tcW w:w="1762" w:type="dxa"/>
            <w:vMerge/>
            <w:tcBorders>
              <w:top w:val="nil"/>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Cs w:val="28"/>
                <w:lang w:eastAsia="es-ES"/>
              </w:rPr>
            </w:pPr>
          </w:p>
        </w:tc>
        <w:tc>
          <w:tcPr>
            <w:tcW w:w="1211" w:type="dxa"/>
            <w:vMerge/>
            <w:tcBorders>
              <w:top w:val="nil"/>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Cs w:val="28"/>
                <w:lang w:eastAsia="es-ES"/>
              </w:rPr>
            </w:pPr>
          </w:p>
        </w:tc>
        <w:tc>
          <w:tcPr>
            <w:tcW w:w="1428" w:type="dxa"/>
            <w:vMerge/>
            <w:tcBorders>
              <w:top w:val="nil"/>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Cs w:val="28"/>
                <w:lang w:eastAsia="es-ES"/>
              </w:rPr>
            </w:pPr>
          </w:p>
        </w:tc>
        <w:tc>
          <w:tcPr>
            <w:tcW w:w="1552" w:type="dxa"/>
            <w:vMerge/>
            <w:tcBorders>
              <w:top w:val="nil"/>
              <w:left w:val="nil"/>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Cs w:val="28"/>
                <w:lang w:eastAsia="es-ES"/>
              </w:rPr>
            </w:pPr>
          </w:p>
        </w:tc>
        <w:tc>
          <w:tcPr>
            <w:tcW w:w="351" w:type="dxa"/>
            <w:tcBorders>
              <w:top w:val="nil"/>
              <w:left w:val="nil"/>
              <w:bottom w:val="single" w:sz="4" w:space="0" w:color="000000"/>
              <w:right w:val="single" w:sz="4" w:space="0" w:color="000000"/>
            </w:tcBorders>
            <w:shd w:val="clear" w:color="FFFFFF" w:fill="FFFFFF"/>
            <w:noWrap/>
            <w:textDirection w:val="btLr"/>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ASESOR</w:t>
            </w:r>
          </w:p>
        </w:tc>
        <w:tc>
          <w:tcPr>
            <w:tcW w:w="351" w:type="dxa"/>
            <w:tcBorders>
              <w:top w:val="nil"/>
              <w:left w:val="nil"/>
              <w:bottom w:val="single" w:sz="4" w:space="0" w:color="000000"/>
              <w:right w:val="single" w:sz="4" w:space="0" w:color="000000"/>
            </w:tcBorders>
            <w:shd w:val="clear" w:color="FFFFFF" w:fill="FFFFFF"/>
            <w:noWrap/>
            <w:textDirection w:val="btLr"/>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DIRECTIVO</w:t>
            </w:r>
          </w:p>
        </w:tc>
        <w:tc>
          <w:tcPr>
            <w:tcW w:w="351" w:type="dxa"/>
            <w:tcBorders>
              <w:top w:val="nil"/>
              <w:left w:val="nil"/>
              <w:bottom w:val="single" w:sz="4" w:space="0" w:color="000000"/>
              <w:right w:val="single" w:sz="4" w:space="0" w:color="000000"/>
            </w:tcBorders>
            <w:shd w:val="clear" w:color="FFFFFF" w:fill="FFFFFF"/>
            <w:noWrap/>
            <w:textDirection w:val="btLr"/>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PROFESIONAL</w:t>
            </w:r>
          </w:p>
        </w:tc>
        <w:tc>
          <w:tcPr>
            <w:tcW w:w="351" w:type="dxa"/>
            <w:tcBorders>
              <w:top w:val="nil"/>
              <w:left w:val="nil"/>
              <w:bottom w:val="single" w:sz="4" w:space="0" w:color="000000"/>
              <w:right w:val="single" w:sz="4" w:space="0" w:color="000000"/>
            </w:tcBorders>
            <w:shd w:val="clear" w:color="FFFFFF" w:fill="FFFFFF"/>
            <w:textDirection w:val="btLr"/>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TÉCNICO/ TECNÓLOGO</w:t>
            </w:r>
          </w:p>
        </w:tc>
        <w:tc>
          <w:tcPr>
            <w:tcW w:w="351" w:type="dxa"/>
            <w:tcBorders>
              <w:top w:val="nil"/>
              <w:left w:val="nil"/>
              <w:bottom w:val="single" w:sz="4" w:space="0" w:color="000000"/>
              <w:right w:val="single" w:sz="4" w:space="0" w:color="000000"/>
            </w:tcBorders>
            <w:shd w:val="clear" w:color="FFFFFF" w:fill="FFFFFF"/>
            <w:noWrap/>
            <w:textDirection w:val="btLr"/>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AUXILIAR</w:t>
            </w:r>
          </w:p>
        </w:tc>
        <w:tc>
          <w:tcPr>
            <w:tcW w:w="389" w:type="dxa"/>
            <w:tcBorders>
              <w:top w:val="nil"/>
              <w:left w:val="nil"/>
              <w:bottom w:val="single" w:sz="4" w:space="0" w:color="000000"/>
              <w:right w:val="single" w:sz="4" w:space="0" w:color="000000"/>
            </w:tcBorders>
            <w:shd w:val="clear" w:color="FFFFFF" w:fill="FFFFFF"/>
            <w:noWrap/>
            <w:textDirection w:val="btLr"/>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CARRERA</w:t>
            </w:r>
          </w:p>
        </w:tc>
        <w:tc>
          <w:tcPr>
            <w:tcW w:w="389" w:type="dxa"/>
            <w:tcBorders>
              <w:top w:val="nil"/>
              <w:left w:val="nil"/>
              <w:bottom w:val="single" w:sz="4" w:space="0" w:color="000000"/>
              <w:right w:val="single" w:sz="4" w:space="0" w:color="000000"/>
            </w:tcBorders>
            <w:shd w:val="clear" w:color="FFFFFF" w:fill="FFFFFF"/>
            <w:noWrap/>
            <w:textDirection w:val="btLr"/>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PROVISIONAL</w:t>
            </w:r>
          </w:p>
        </w:tc>
        <w:tc>
          <w:tcPr>
            <w:tcW w:w="389" w:type="dxa"/>
            <w:tcBorders>
              <w:top w:val="nil"/>
              <w:left w:val="nil"/>
              <w:bottom w:val="single" w:sz="4" w:space="0" w:color="000000"/>
              <w:right w:val="single" w:sz="4" w:space="0" w:color="000000"/>
            </w:tcBorders>
            <w:shd w:val="clear" w:color="FFFFFF" w:fill="FFFFFF"/>
            <w:noWrap/>
            <w:textDirection w:val="btLr"/>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LIBRE NOMB.</w:t>
            </w:r>
          </w:p>
        </w:tc>
        <w:tc>
          <w:tcPr>
            <w:tcW w:w="389" w:type="dxa"/>
            <w:tcBorders>
              <w:top w:val="nil"/>
              <w:left w:val="nil"/>
              <w:bottom w:val="single" w:sz="4" w:space="0" w:color="000000"/>
              <w:right w:val="single" w:sz="4" w:space="0" w:color="000000"/>
            </w:tcBorders>
            <w:shd w:val="clear" w:color="FFFFFF" w:fill="FFFFFF"/>
            <w:noWrap/>
            <w:textDirection w:val="btLr"/>
            <w:vAlign w:val="center"/>
          </w:tcPr>
          <w:p w:rsidR="00BD2464" w:rsidRDefault="0054101D">
            <w:pPr>
              <w:spacing w:after="0" w:line="240" w:lineRule="auto"/>
              <w:jc w:val="center"/>
              <w:rPr>
                <w:rFonts w:ascii="Garamond" w:eastAsia="Times New Roman" w:hAnsi="Garamond" w:cs="Arial"/>
                <w:b/>
                <w:bCs/>
                <w:color w:val="000000"/>
                <w:szCs w:val="28"/>
                <w:lang w:eastAsia="es-ES"/>
              </w:rPr>
            </w:pPr>
            <w:r>
              <w:rPr>
                <w:rFonts w:ascii="Garamond" w:eastAsia="Times New Roman" w:hAnsi="Garamond" w:cs="Arial"/>
                <w:b/>
                <w:bCs/>
                <w:color w:val="000000"/>
                <w:szCs w:val="28"/>
                <w:lang w:eastAsia="es-ES"/>
              </w:rPr>
              <w:t>CONTRATISTA</w:t>
            </w:r>
          </w:p>
        </w:tc>
        <w:tc>
          <w:tcPr>
            <w:tcW w:w="2944" w:type="dxa"/>
            <w:vMerge/>
            <w:tcBorders>
              <w:top w:val="nil"/>
              <w:left w:val="nil"/>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 w:val="28"/>
                <w:szCs w:val="28"/>
                <w:lang w:eastAsia="es-ES"/>
              </w:rPr>
            </w:pPr>
          </w:p>
        </w:tc>
        <w:tc>
          <w:tcPr>
            <w:tcW w:w="2609" w:type="dxa"/>
            <w:vMerge/>
            <w:tcBorders>
              <w:top w:val="nil"/>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b/>
                <w:bCs/>
                <w:color w:val="000000"/>
                <w:sz w:val="28"/>
                <w:szCs w:val="28"/>
                <w:lang w:eastAsia="es-ES"/>
              </w:rPr>
            </w:pPr>
          </w:p>
        </w:tc>
      </w:tr>
      <w:tr w:rsidR="00BD2464">
        <w:trPr>
          <w:trHeight w:val="1215"/>
        </w:trPr>
        <w:tc>
          <w:tcPr>
            <w:tcW w:w="576" w:type="dxa"/>
            <w:tcBorders>
              <w:top w:val="nil"/>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CC</w:t>
            </w:r>
          </w:p>
        </w:tc>
        <w:tc>
          <w:tcPr>
            <w:tcW w:w="1762"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1014264089</w:t>
            </w:r>
          </w:p>
        </w:tc>
        <w:tc>
          <w:tcPr>
            <w:tcW w:w="121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VANESSA NOVOA PABON</w:t>
            </w:r>
          </w:p>
        </w:tc>
        <w:tc>
          <w:tcPr>
            <w:tcW w:w="1428"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N/A</w:t>
            </w:r>
          </w:p>
        </w:tc>
        <w:tc>
          <w:tcPr>
            <w:tcW w:w="1552"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Fundación Internacional de pedagogía conceptual Alberto Merani FIPCAM</w:t>
            </w:r>
          </w:p>
        </w:tc>
        <w:tc>
          <w:tcPr>
            <w:tcW w:w="351" w:type="dxa"/>
            <w:tcBorders>
              <w:top w:val="nil"/>
              <w:left w:val="nil"/>
              <w:bottom w:val="single" w:sz="4" w:space="0" w:color="000000"/>
              <w:right w:val="single" w:sz="4" w:space="0" w:color="000000"/>
            </w:tcBorders>
            <w:shd w:val="clear" w:color="FFFFFF" w:fill="FFFFFF"/>
            <w:noWrap/>
            <w:textDirection w:val="btLr"/>
            <w:vAlign w:val="center"/>
          </w:tcPr>
          <w:p w:rsidR="00BD2464" w:rsidRDefault="0054101D">
            <w:pPr>
              <w:spacing w:after="0" w:line="240" w:lineRule="auto"/>
              <w:rPr>
                <w:rFonts w:ascii="Garamond" w:eastAsia="Times New Roman" w:hAnsi="Garamond" w:cs="Arial"/>
                <w:b/>
                <w:bCs/>
                <w:color w:val="000000"/>
                <w:sz w:val="12"/>
                <w:szCs w:val="12"/>
                <w:lang w:eastAsia="es-ES"/>
              </w:rPr>
            </w:pPr>
            <w:r>
              <w:rPr>
                <w:rFonts w:ascii="Garamond" w:eastAsia="Times New Roman" w:hAnsi="Garamond" w:cs="Arial"/>
                <w:b/>
                <w:bCs/>
                <w:color w:val="000000"/>
                <w:sz w:val="12"/>
                <w:szCs w:val="12"/>
                <w:lang w:eastAsia="es-ES"/>
              </w:rPr>
              <w:t> </w:t>
            </w:r>
          </w:p>
        </w:tc>
        <w:tc>
          <w:tcPr>
            <w:tcW w:w="351" w:type="dxa"/>
            <w:tcBorders>
              <w:top w:val="nil"/>
              <w:left w:val="nil"/>
              <w:bottom w:val="single" w:sz="4" w:space="0" w:color="000000"/>
              <w:right w:val="single" w:sz="4" w:space="0" w:color="000000"/>
            </w:tcBorders>
            <w:shd w:val="clear" w:color="FFFFFF" w:fill="FFFFFF"/>
            <w:noWrap/>
            <w:textDirection w:val="btLr"/>
            <w:vAlign w:val="center"/>
          </w:tcPr>
          <w:p w:rsidR="00BD2464" w:rsidRDefault="0054101D">
            <w:pPr>
              <w:spacing w:after="0" w:line="240" w:lineRule="auto"/>
              <w:rPr>
                <w:rFonts w:ascii="Garamond" w:eastAsia="Times New Roman" w:hAnsi="Garamond" w:cs="Arial"/>
                <w:b/>
                <w:bCs/>
                <w:color w:val="000000"/>
                <w:sz w:val="12"/>
                <w:szCs w:val="12"/>
                <w:lang w:eastAsia="es-ES"/>
              </w:rPr>
            </w:pPr>
            <w:r>
              <w:rPr>
                <w:rFonts w:ascii="Garamond" w:eastAsia="Times New Roman" w:hAnsi="Garamond" w:cs="Arial"/>
                <w:b/>
                <w:bCs/>
                <w:color w:val="000000"/>
                <w:sz w:val="12"/>
                <w:szCs w:val="12"/>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X</w:t>
            </w:r>
          </w:p>
        </w:tc>
        <w:tc>
          <w:tcPr>
            <w:tcW w:w="351" w:type="dxa"/>
            <w:tcBorders>
              <w:top w:val="nil"/>
              <w:left w:val="nil"/>
              <w:bottom w:val="single" w:sz="4" w:space="0" w:color="000000"/>
              <w:right w:val="single" w:sz="4" w:space="0" w:color="000000"/>
            </w:tcBorders>
            <w:shd w:val="clear" w:color="FFFFFF" w:fill="FFFFFF"/>
            <w:noWrap/>
            <w:textDirection w:val="btLr"/>
            <w:vAlign w:val="center"/>
          </w:tcPr>
          <w:p w:rsidR="00BD2464" w:rsidRDefault="0054101D">
            <w:pPr>
              <w:spacing w:after="0" w:line="240" w:lineRule="auto"/>
              <w:jc w:val="center"/>
              <w:rPr>
                <w:rFonts w:ascii="Garamond" w:eastAsia="Times New Roman" w:hAnsi="Garamond" w:cs="Arial"/>
                <w:b/>
                <w:bCs/>
                <w:color w:val="000000"/>
                <w:sz w:val="12"/>
                <w:szCs w:val="12"/>
                <w:lang w:eastAsia="es-ES"/>
              </w:rPr>
            </w:pPr>
            <w:r>
              <w:rPr>
                <w:rFonts w:ascii="Garamond" w:eastAsia="Times New Roman" w:hAnsi="Garamond" w:cs="Arial"/>
                <w:b/>
                <w:bCs/>
                <w:color w:val="000000"/>
                <w:sz w:val="12"/>
                <w:szCs w:val="12"/>
                <w:lang w:eastAsia="es-ES"/>
              </w:rPr>
              <w:t> </w:t>
            </w:r>
          </w:p>
        </w:tc>
        <w:tc>
          <w:tcPr>
            <w:tcW w:w="351" w:type="dxa"/>
            <w:tcBorders>
              <w:top w:val="nil"/>
              <w:left w:val="nil"/>
              <w:bottom w:val="single" w:sz="4" w:space="0" w:color="000000"/>
              <w:right w:val="single" w:sz="4" w:space="0" w:color="000000"/>
            </w:tcBorders>
            <w:shd w:val="clear" w:color="FFFFFF" w:fill="FFFFFF"/>
            <w:noWrap/>
            <w:textDirection w:val="btLr"/>
            <w:vAlign w:val="center"/>
          </w:tcPr>
          <w:p w:rsidR="00BD2464" w:rsidRDefault="0054101D">
            <w:pPr>
              <w:spacing w:after="0" w:line="240" w:lineRule="auto"/>
              <w:rPr>
                <w:rFonts w:ascii="Garamond" w:eastAsia="Times New Roman" w:hAnsi="Garamond" w:cs="Arial"/>
                <w:b/>
                <w:bCs/>
                <w:color w:val="000000"/>
                <w:sz w:val="12"/>
                <w:szCs w:val="12"/>
                <w:lang w:eastAsia="es-ES"/>
              </w:rPr>
            </w:pPr>
            <w:r>
              <w:rPr>
                <w:rFonts w:ascii="Garamond" w:eastAsia="Times New Roman" w:hAnsi="Garamond" w:cs="Arial"/>
                <w:b/>
                <w:bCs/>
                <w:color w:val="000000"/>
                <w:sz w:val="12"/>
                <w:szCs w:val="12"/>
                <w:lang w:eastAsia="es-ES"/>
              </w:rPr>
              <w:t> </w:t>
            </w:r>
          </w:p>
        </w:tc>
        <w:tc>
          <w:tcPr>
            <w:tcW w:w="389" w:type="dxa"/>
            <w:tcBorders>
              <w:top w:val="nil"/>
              <w:left w:val="nil"/>
              <w:bottom w:val="single" w:sz="4" w:space="0" w:color="000000"/>
              <w:right w:val="single" w:sz="4" w:space="0" w:color="000000"/>
            </w:tcBorders>
            <w:shd w:val="clear" w:color="FFFFFF" w:fill="FFFFFF"/>
            <w:textDirection w:val="btLr"/>
            <w:vAlign w:val="center"/>
          </w:tcPr>
          <w:p w:rsidR="00BD2464" w:rsidRDefault="0054101D">
            <w:pPr>
              <w:spacing w:after="0" w:line="240" w:lineRule="auto"/>
              <w:jc w:val="center"/>
              <w:rPr>
                <w:rFonts w:ascii="Garamond" w:eastAsia="Times New Roman" w:hAnsi="Garamond" w:cs="Arial"/>
                <w:color w:val="000000"/>
                <w:sz w:val="16"/>
                <w:szCs w:val="16"/>
                <w:lang w:eastAsia="es-ES"/>
              </w:rPr>
            </w:pPr>
            <w:r>
              <w:rPr>
                <w:rFonts w:ascii="Garamond" w:eastAsia="Times New Roman" w:hAnsi="Garamond" w:cs="Arial"/>
                <w:color w:val="000000"/>
                <w:sz w:val="16"/>
                <w:szCs w:val="16"/>
                <w:lang w:eastAsia="es-ES"/>
              </w:rPr>
              <w:t> </w:t>
            </w:r>
          </w:p>
        </w:tc>
        <w:tc>
          <w:tcPr>
            <w:tcW w:w="389" w:type="dxa"/>
            <w:tcBorders>
              <w:top w:val="nil"/>
              <w:left w:val="nil"/>
              <w:bottom w:val="single" w:sz="4" w:space="0" w:color="000000"/>
              <w:right w:val="single" w:sz="4" w:space="0" w:color="000000"/>
            </w:tcBorders>
            <w:shd w:val="clear" w:color="FFFFFF" w:fill="FFFFFF"/>
            <w:textDirection w:val="btLr"/>
            <w:vAlign w:val="center"/>
          </w:tcPr>
          <w:p w:rsidR="00BD2464" w:rsidRDefault="0054101D">
            <w:pPr>
              <w:spacing w:after="0" w:line="240" w:lineRule="auto"/>
              <w:jc w:val="center"/>
              <w:rPr>
                <w:rFonts w:ascii="Garamond" w:eastAsia="Times New Roman" w:hAnsi="Garamond" w:cs="Arial"/>
                <w:color w:val="000000"/>
                <w:sz w:val="16"/>
                <w:szCs w:val="16"/>
                <w:lang w:eastAsia="es-ES"/>
              </w:rPr>
            </w:pPr>
            <w:r>
              <w:rPr>
                <w:rFonts w:ascii="Garamond" w:eastAsia="Times New Roman" w:hAnsi="Garamond" w:cs="Arial"/>
                <w:color w:val="000000"/>
                <w:sz w:val="16"/>
                <w:szCs w:val="16"/>
                <w:lang w:eastAsia="es-ES"/>
              </w:rPr>
              <w:t> </w:t>
            </w:r>
          </w:p>
        </w:tc>
        <w:tc>
          <w:tcPr>
            <w:tcW w:w="389" w:type="dxa"/>
            <w:tcBorders>
              <w:top w:val="nil"/>
              <w:left w:val="nil"/>
              <w:bottom w:val="single" w:sz="4" w:space="0" w:color="000000"/>
              <w:right w:val="single" w:sz="4" w:space="0" w:color="000000"/>
            </w:tcBorders>
            <w:shd w:val="clear" w:color="FFFFFF" w:fill="FFFFFF"/>
            <w:textDirection w:val="btLr"/>
            <w:vAlign w:val="center"/>
          </w:tcPr>
          <w:p w:rsidR="00BD2464" w:rsidRDefault="0054101D">
            <w:pPr>
              <w:spacing w:after="0" w:line="240" w:lineRule="auto"/>
              <w:jc w:val="center"/>
              <w:rPr>
                <w:rFonts w:ascii="Garamond" w:eastAsia="Times New Roman" w:hAnsi="Garamond" w:cs="Arial"/>
                <w:color w:val="000000"/>
                <w:sz w:val="16"/>
                <w:szCs w:val="16"/>
                <w:lang w:eastAsia="es-ES"/>
              </w:rPr>
            </w:pPr>
            <w:r>
              <w:rPr>
                <w:rFonts w:ascii="Garamond" w:eastAsia="Times New Roman" w:hAnsi="Garamond" w:cs="Arial"/>
                <w:color w:val="000000"/>
                <w:sz w:val="16"/>
                <w:szCs w:val="16"/>
                <w:lang w:eastAsia="es-ES"/>
              </w:rPr>
              <w:t> </w:t>
            </w:r>
          </w:p>
        </w:tc>
        <w:tc>
          <w:tcPr>
            <w:tcW w:w="389" w:type="dxa"/>
            <w:tcBorders>
              <w:top w:val="nil"/>
              <w:left w:val="nil"/>
              <w:bottom w:val="single" w:sz="4" w:space="0" w:color="000000"/>
              <w:right w:val="single" w:sz="4" w:space="0" w:color="000000"/>
            </w:tcBorders>
            <w:shd w:val="clear" w:color="FFFFFF" w:fill="FFFFFF"/>
            <w:textDirection w:val="btLr"/>
            <w:vAlign w:val="center"/>
          </w:tcPr>
          <w:p w:rsidR="00BD2464" w:rsidRDefault="0054101D">
            <w:pPr>
              <w:spacing w:after="0" w:line="240" w:lineRule="auto"/>
              <w:jc w:val="center"/>
              <w:rPr>
                <w:rFonts w:ascii="Garamond" w:eastAsia="Times New Roman" w:hAnsi="Garamond" w:cs="Arial"/>
                <w:color w:val="000000"/>
                <w:sz w:val="16"/>
                <w:szCs w:val="16"/>
                <w:lang w:eastAsia="es-ES"/>
              </w:rPr>
            </w:pPr>
            <w:r>
              <w:rPr>
                <w:rFonts w:ascii="Garamond" w:eastAsia="Times New Roman" w:hAnsi="Garamond" w:cs="Arial"/>
                <w:color w:val="000000"/>
                <w:sz w:val="16"/>
                <w:szCs w:val="16"/>
                <w:lang w:eastAsia="es-ES"/>
              </w:rPr>
              <w:t> </w:t>
            </w:r>
          </w:p>
        </w:tc>
        <w:tc>
          <w:tcPr>
            <w:tcW w:w="2944" w:type="dxa"/>
            <w:tcBorders>
              <w:top w:val="nil"/>
              <w:left w:val="nil"/>
              <w:bottom w:val="single" w:sz="4" w:space="0" w:color="000000"/>
              <w:right w:val="single" w:sz="4" w:space="0" w:color="000000"/>
            </w:tcBorders>
            <w:shd w:val="clear" w:color="FFFFFF" w:fill="FFFFFF"/>
            <w:vAlign w:val="center"/>
          </w:tcPr>
          <w:p w:rsidR="00BD2464" w:rsidRDefault="009115A7">
            <w:pPr>
              <w:spacing w:after="0" w:line="240" w:lineRule="auto"/>
              <w:jc w:val="center"/>
              <w:rPr>
                <w:rFonts w:ascii="Arial" w:eastAsia="Times New Roman" w:hAnsi="Arial" w:cs="Arial"/>
                <w:color w:val="0000FF"/>
                <w:sz w:val="20"/>
                <w:szCs w:val="20"/>
                <w:u w:val="single"/>
                <w:lang w:eastAsia="es-ES"/>
              </w:rPr>
            </w:pPr>
            <w:hyperlink r:id="rId8" w:history="1">
              <w:r w:rsidR="0054101D">
                <w:rPr>
                  <w:rFonts w:ascii="Arial" w:eastAsia="Times New Roman" w:hAnsi="Arial" w:cs="Arial"/>
                  <w:color w:val="0000FF"/>
                  <w:sz w:val="20"/>
                  <w:szCs w:val="20"/>
                  <w:u w:val="single"/>
                  <w:lang w:eastAsia="es-ES"/>
                </w:rPr>
                <w:t>vanessanovoa@albertomerani.org</w:t>
              </w:r>
            </w:hyperlink>
          </w:p>
        </w:tc>
        <w:tc>
          <w:tcPr>
            <w:tcW w:w="2609"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1215"/>
        </w:trPr>
        <w:tc>
          <w:tcPr>
            <w:tcW w:w="576" w:type="dxa"/>
            <w:tcBorders>
              <w:top w:val="nil"/>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lastRenderedPageBreak/>
              <w:t>CC</w:t>
            </w:r>
          </w:p>
        </w:tc>
        <w:tc>
          <w:tcPr>
            <w:tcW w:w="1762"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1013625446</w:t>
            </w:r>
          </w:p>
        </w:tc>
        <w:tc>
          <w:tcPr>
            <w:tcW w:w="121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ANDREA LISBETH LEON VARGAS</w:t>
            </w:r>
          </w:p>
        </w:tc>
        <w:tc>
          <w:tcPr>
            <w:tcW w:w="1428"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N/A</w:t>
            </w:r>
          </w:p>
        </w:tc>
        <w:tc>
          <w:tcPr>
            <w:tcW w:w="1552"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Fundación Internacional de pedagogía conceptual Alberto Merani FIPCAM</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X</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2944" w:type="dxa"/>
            <w:tcBorders>
              <w:top w:val="nil"/>
              <w:left w:val="nil"/>
              <w:bottom w:val="single" w:sz="4" w:space="0" w:color="000000"/>
              <w:right w:val="single" w:sz="4" w:space="0" w:color="000000"/>
            </w:tcBorders>
            <w:shd w:val="clear" w:color="FFFFFF" w:fill="FFFFFF"/>
            <w:vAlign w:val="center"/>
          </w:tcPr>
          <w:p w:rsidR="00BD2464" w:rsidRDefault="009115A7">
            <w:pPr>
              <w:spacing w:after="0" w:line="240" w:lineRule="auto"/>
              <w:jc w:val="center"/>
              <w:rPr>
                <w:rFonts w:ascii="Arial" w:eastAsia="Times New Roman" w:hAnsi="Arial" w:cs="Arial"/>
                <w:color w:val="0000FF"/>
                <w:sz w:val="20"/>
                <w:szCs w:val="20"/>
                <w:u w:val="single"/>
                <w:lang w:eastAsia="es-ES"/>
              </w:rPr>
            </w:pPr>
            <w:hyperlink r:id="rId9" w:history="1">
              <w:r w:rsidR="0054101D">
                <w:rPr>
                  <w:rFonts w:ascii="Arial" w:eastAsia="Times New Roman" w:hAnsi="Arial" w:cs="Arial"/>
                  <w:color w:val="0000FF"/>
                  <w:sz w:val="20"/>
                  <w:szCs w:val="20"/>
                  <w:u w:val="single"/>
                  <w:lang w:eastAsia="es-ES"/>
                </w:rPr>
                <w:t>andrealeon@albertomerani.org</w:t>
              </w:r>
            </w:hyperlink>
          </w:p>
        </w:tc>
        <w:tc>
          <w:tcPr>
            <w:tcW w:w="2609"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1215"/>
        </w:trPr>
        <w:tc>
          <w:tcPr>
            <w:tcW w:w="576" w:type="dxa"/>
            <w:tcBorders>
              <w:top w:val="nil"/>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CC</w:t>
            </w:r>
          </w:p>
        </w:tc>
        <w:tc>
          <w:tcPr>
            <w:tcW w:w="1762"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79218535</w:t>
            </w:r>
          </w:p>
        </w:tc>
        <w:tc>
          <w:tcPr>
            <w:tcW w:w="121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FABIAN GONZALES JIMENEZ</w:t>
            </w:r>
          </w:p>
        </w:tc>
        <w:tc>
          <w:tcPr>
            <w:tcW w:w="1428"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N/A</w:t>
            </w:r>
          </w:p>
        </w:tc>
        <w:tc>
          <w:tcPr>
            <w:tcW w:w="1552"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Fundación Internacional de pedagogía conceptual Alberto Merani FIPCAM</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X</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2944" w:type="dxa"/>
            <w:tcBorders>
              <w:top w:val="nil"/>
              <w:left w:val="nil"/>
              <w:bottom w:val="single" w:sz="4" w:space="0" w:color="000000"/>
              <w:right w:val="single" w:sz="4" w:space="0" w:color="000000"/>
            </w:tcBorders>
            <w:shd w:val="clear" w:color="FFFFFF" w:fill="FFFFFF"/>
            <w:vAlign w:val="center"/>
          </w:tcPr>
          <w:p w:rsidR="00BD2464" w:rsidRDefault="00A9033C" w:rsidP="00A9033C">
            <w:pPr>
              <w:spacing w:after="0" w:line="240" w:lineRule="auto"/>
              <w:jc w:val="center"/>
              <w:rPr>
                <w:rFonts w:ascii="Arial" w:eastAsia="Times New Roman" w:hAnsi="Arial" w:cs="Arial"/>
                <w:color w:val="0000FF"/>
                <w:sz w:val="20"/>
                <w:szCs w:val="20"/>
                <w:u w:val="single"/>
                <w:lang w:eastAsia="es-ES"/>
              </w:rPr>
            </w:pPr>
            <w:hyperlink r:id="rId10" w:history="1">
              <w:r w:rsidRPr="00863212">
                <w:rPr>
                  <w:rStyle w:val="Hipervnculo"/>
                  <w:rFonts w:ascii="Arial" w:eastAsia="Times New Roman" w:hAnsi="Arial" w:cs="Arial"/>
                  <w:sz w:val="20"/>
                  <w:szCs w:val="20"/>
                  <w:lang w:eastAsia="es-ES"/>
                </w:rPr>
                <w:t>fabiangonzalez@albertomerani.org</w:t>
              </w:r>
            </w:hyperlink>
          </w:p>
        </w:tc>
        <w:tc>
          <w:tcPr>
            <w:tcW w:w="2609"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1215"/>
        </w:trPr>
        <w:tc>
          <w:tcPr>
            <w:tcW w:w="576" w:type="dxa"/>
            <w:tcBorders>
              <w:top w:val="nil"/>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CC</w:t>
            </w:r>
          </w:p>
        </w:tc>
        <w:tc>
          <w:tcPr>
            <w:tcW w:w="1762"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1030680450</w:t>
            </w:r>
          </w:p>
        </w:tc>
        <w:tc>
          <w:tcPr>
            <w:tcW w:w="121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LAURA GARCIA</w:t>
            </w:r>
          </w:p>
        </w:tc>
        <w:tc>
          <w:tcPr>
            <w:tcW w:w="1428"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1552"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Fondo de desarrollo local Tunjuelito FDLT</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2944"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2609"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1215"/>
        </w:trPr>
        <w:tc>
          <w:tcPr>
            <w:tcW w:w="576" w:type="dxa"/>
            <w:tcBorders>
              <w:top w:val="nil"/>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CC</w:t>
            </w:r>
          </w:p>
        </w:tc>
        <w:tc>
          <w:tcPr>
            <w:tcW w:w="1762"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11385910</w:t>
            </w:r>
          </w:p>
        </w:tc>
        <w:tc>
          <w:tcPr>
            <w:tcW w:w="121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PEDRO PABLO ANGEL MENDEZ</w:t>
            </w:r>
          </w:p>
        </w:tc>
        <w:tc>
          <w:tcPr>
            <w:tcW w:w="1428"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1552"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Fondo de desarrollo local Tunjuelito FDLT</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51"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389"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2944" w:type="dxa"/>
            <w:tcBorders>
              <w:top w:val="nil"/>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w:t>
            </w:r>
          </w:p>
        </w:tc>
        <w:tc>
          <w:tcPr>
            <w:tcW w:w="2609"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1215"/>
        </w:trPr>
        <w:tc>
          <w:tcPr>
            <w:tcW w:w="576" w:type="dxa"/>
            <w:tcBorders>
              <w:top w:val="nil"/>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762"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211"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428"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552"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944"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609" w:type="dxa"/>
            <w:tcBorders>
              <w:top w:val="nil"/>
              <w:left w:val="nil"/>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2100"/>
        </w:trPr>
        <w:tc>
          <w:tcPr>
            <w:tcW w:w="15393" w:type="dxa"/>
            <w:gridSpan w:val="16"/>
            <w:tcBorders>
              <w:top w:val="single" w:sz="4" w:space="0" w:color="000000"/>
              <w:left w:val="single" w:sz="4" w:space="0" w:color="000000"/>
              <w:bottom w:val="single" w:sz="4" w:space="0" w:color="000000"/>
              <w:right w:val="single" w:sz="4" w:space="0" w:color="000000"/>
            </w:tcBorders>
            <w:shd w:val="clear" w:color="FFFFFF" w:fill="FFFFFF"/>
          </w:tcPr>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b/>
                <w:bCs/>
                <w:color w:val="000000"/>
                <w:sz w:val="24"/>
                <w:szCs w:val="24"/>
                <w:lang w:eastAsia="es-ES"/>
              </w:rPr>
              <w:t xml:space="preserve">CONSENTIMIENTO: </w:t>
            </w:r>
            <w:r>
              <w:rPr>
                <w:rFonts w:ascii="Garamond" w:eastAsia="Times New Roman" w:hAnsi="Garamond" w:cs="Arial"/>
                <w:color w:val="000000"/>
                <w:sz w:val="24"/>
                <w:szCs w:val="24"/>
                <w:lang w:eastAsia="es-ES"/>
              </w:rPr>
              <w:t xml:space="preserve">Quien registra sus datos, conforme a la Ley 1581 de 2012 y demás normas reglamentarias aplicables, declara que conoce y acepta la Política de Tratamiento y Protección de Datos Personales de la Secretaría Distrital de Gobierno, y que la información proporcionada es veraz, completa, exacta, actualizada y verificable. Reconoce y acepta que cualquier consulta o reclamación relacionada con el tratamiento de sus datos personales podrá ser elevada verbalmente o por escrito ante la Secretaría Distrital de Gobierno – Oficina de Atención al Ciudadano, como responsable del tratamiento; cuya página web es www.gobiernobogota.gov.co y su teléfono de atención es 3387000. Manifiesta que con los datos proporcionados tiene el derecho de conocer, actualizar y rectificar los datos personales, a solicitar prueba de este consentimiento, a solicitar información sobre el uso que se le ha dado a los datos personales, a presentar quejas ante la Superintendencia de Industria y Comercio por el uso indebido de los datos personales, a revocar esta autorización o solicitar la supresión de los datos personales suministrados y a acceder de forma gratuita a los mismos. De igual manera entiende que los datos aquí consignados serán usados para temas estadísticos, de caracterización poblacional y en determinados casos para el acceso a la oferta institucional de la Secretaría Distrital de Gobierno. </w:t>
            </w:r>
          </w:p>
        </w:tc>
      </w:tr>
      <w:tr w:rsidR="00BD2464">
        <w:trPr>
          <w:trHeight w:val="510"/>
        </w:trPr>
        <w:tc>
          <w:tcPr>
            <w:tcW w:w="15393" w:type="dxa"/>
            <w:gridSpan w:val="16"/>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Ver SAC-M002 Manual de Atención Diferencial y Preferencial para personas con discapacidad, disponible en https://gaia.gobiernobogota.gov.co/content/sistema-integrado-de-gestion-sdg</w:t>
            </w:r>
          </w:p>
        </w:tc>
      </w:tr>
      <w:tr w:rsidR="00BD2464">
        <w:trPr>
          <w:trHeight w:val="255"/>
        </w:trPr>
        <w:tc>
          <w:tcPr>
            <w:tcW w:w="576"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762"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211"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428"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552"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944"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609" w:type="dxa"/>
            <w:tcBorders>
              <w:top w:val="nil"/>
              <w:left w:val="nil"/>
              <w:bottom w:val="single" w:sz="4" w:space="0" w:color="auto"/>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525"/>
        </w:trPr>
        <w:tc>
          <w:tcPr>
            <w:tcW w:w="15393" w:type="dxa"/>
            <w:gridSpan w:val="16"/>
            <w:tcBorders>
              <w:top w:val="single" w:sz="4" w:space="0" w:color="auto"/>
              <w:left w:val="single" w:sz="4" w:space="0" w:color="auto"/>
              <w:bottom w:val="nil"/>
              <w:right w:val="single" w:sz="4" w:space="0" w:color="auto"/>
            </w:tcBorders>
            <w:shd w:val="clear" w:color="FFFFFF" w:fill="FFFFFF"/>
            <w:noWrap/>
            <w:vAlign w:val="bottom"/>
          </w:tcPr>
          <w:p w:rsidR="00BD2464" w:rsidRDefault="0054101D">
            <w:pPr>
              <w:spacing w:after="0" w:line="240" w:lineRule="auto"/>
              <w:rPr>
                <w:rFonts w:ascii="Garamond" w:eastAsia="Times New Roman" w:hAnsi="Garamond" w:cs="Arial"/>
                <w:b/>
                <w:bCs/>
                <w:color w:val="000000"/>
                <w:sz w:val="36"/>
                <w:szCs w:val="36"/>
                <w:u w:val="single"/>
                <w:lang w:eastAsia="es-ES"/>
              </w:rPr>
            </w:pPr>
            <w:r>
              <w:rPr>
                <w:rFonts w:ascii="Garamond" w:eastAsia="Times New Roman" w:hAnsi="Garamond" w:cs="Arial"/>
                <w:b/>
                <w:bCs/>
                <w:color w:val="000000"/>
                <w:sz w:val="36"/>
                <w:szCs w:val="36"/>
                <w:u w:val="single"/>
                <w:lang w:eastAsia="es-ES"/>
              </w:rPr>
              <w:t>DESARROLLO Y CONCLUSIONES DE LA REUNIÓN</w:t>
            </w:r>
          </w:p>
        </w:tc>
      </w:tr>
      <w:tr w:rsidR="00BD2464">
        <w:trPr>
          <w:trHeight w:val="2175"/>
        </w:trPr>
        <w:tc>
          <w:tcPr>
            <w:tcW w:w="15393" w:type="dxa"/>
            <w:gridSpan w:val="16"/>
            <w:tcBorders>
              <w:top w:val="nil"/>
              <w:left w:val="single" w:sz="4" w:space="0" w:color="auto"/>
              <w:bottom w:val="single" w:sz="4" w:space="0" w:color="auto"/>
              <w:right w:val="single" w:sz="4" w:space="0" w:color="auto"/>
            </w:tcBorders>
            <w:shd w:val="clear" w:color="FFFFFF" w:fill="FFFFFF"/>
            <w:vAlign w:val="bottom"/>
          </w:tcPr>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Agenda Segundo comité técnico:</w:t>
            </w:r>
            <w:r>
              <w:rPr>
                <w:rFonts w:ascii="Garamond" w:eastAsia="Times New Roman" w:hAnsi="Garamond" w:cs="Arial"/>
                <w:color w:val="000000"/>
                <w:sz w:val="24"/>
                <w:szCs w:val="24"/>
                <w:lang w:eastAsia="es-ES"/>
              </w:rPr>
              <w:br/>
              <w:t xml:space="preserve">1. Confirmación de asistentes                                                                                                                                                                                                                                                                                                                                                                                                             2. Verificación de acta de comité 1 y compromisos adquiridos. </w:t>
            </w:r>
            <w:r>
              <w:rPr>
                <w:rFonts w:ascii="Garamond" w:eastAsia="Times New Roman" w:hAnsi="Garamond" w:cs="Arial"/>
                <w:color w:val="000000"/>
                <w:sz w:val="24"/>
                <w:szCs w:val="24"/>
                <w:lang w:eastAsia="es-ES"/>
              </w:rPr>
              <w:br/>
              <w:t xml:space="preserve">3. Aclaración de inquietudes generadas por parte del operador de la FIPCAM al FDLT                                                                                                                                                                                                                                                                                                                                                                                                                                                                                                                                                                                     4.Socializaciòn de entregables establecidos en estudio previo, al comité </w:t>
            </w:r>
            <w:r>
              <w:rPr>
                <w:rFonts w:ascii="Garamond" w:eastAsia="Times New Roman" w:hAnsi="Garamond" w:cs="Arial"/>
                <w:color w:val="000000"/>
                <w:sz w:val="24"/>
                <w:szCs w:val="24"/>
                <w:lang w:eastAsia="es-ES"/>
              </w:rPr>
              <w:br/>
              <w:t>5. Varios                                                                                                                                                                                                                                                                                                                                                                                                                                                                                                                                                                                                                                                                                                        6. Compromisos</w:t>
            </w:r>
          </w:p>
        </w:tc>
      </w:tr>
      <w:tr w:rsidR="00BD2464">
        <w:trPr>
          <w:trHeight w:val="135"/>
        </w:trPr>
        <w:tc>
          <w:tcPr>
            <w:tcW w:w="15393" w:type="dxa"/>
            <w:gridSpan w:val="16"/>
            <w:tcBorders>
              <w:top w:val="single" w:sz="4" w:space="0" w:color="auto"/>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810"/>
        </w:trPr>
        <w:tc>
          <w:tcPr>
            <w:tcW w:w="15393" w:type="dxa"/>
            <w:gridSpan w:val="16"/>
            <w:tcBorders>
              <w:top w:val="single" w:sz="4" w:space="0" w:color="000000"/>
              <w:left w:val="single" w:sz="4" w:space="0" w:color="000000"/>
              <w:bottom w:val="nil"/>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xml:space="preserve">1. Se confirma asistencia de las personas convocadas por parte del FDLT y de la FIPCAM, quienes se encuentran registradas como se evidencia la página uno (1),                                                                                                                                                                                                                      </w:t>
            </w:r>
          </w:p>
        </w:tc>
      </w:tr>
      <w:tr w:rsidR="00BD2464">
        <w:trPr>
          <w:trHeight w:val="645"/>
        </w:trPr>
        <w:tc>
          <w:tcPr>
            <w:tcW w:w="15393" w:type="dxa"/>
            <w:gridSpan w:val="16"/>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D2464" w:rsidRDefault="00BD2464">
            <w:pPr>
              <w:spacing w:after="0" w:line="240" w:lineRule="auto"/>
              <w:rPr>
                <w:rFonts w:ascii="Garamond" w:eastAsia="Times New Roman" w:hAnsi="Garamond" w:cs="Arial"/>
                <w:color w:val="000000"/>
                <w:sz w:val="24"/>
                <w:szCs w:val="24"/>
                <w:lang w:eastAsia="es-ES"/>
              </w:rPr>
            </w:pPr>
          </w:p>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xml:space="preserve">2. Se procede a hacer lectura del acta del comité anterior la cual contiene ajustes al contenido y se continua con la lectura de compromisos, para lo cual se dan por realizadas de manera exitosa las siguientes:                                                                                                                                                                                                                                                                                                              2.1. Gestiones para formalizar reunión con la Dirección  de Educación local de Tunjuelito - Ejecutada el 04-02-2025                                                                                                                                                                                                                                                                                                                                                         2.2. Envió de formatos para inicio de ejecución - Se hace envió de formatos quedando pendiente el manual de marca del FDLT, Manual para la gestión de ingreso y salida de almacén del FDLT                                                                                                                                                                                                                                                                                                                                                                  2.3 Solicitar  acta de inicio con firmas completas al área jurídica  - Enviada el 06 de febrero del 2025                                                                                                                                                                                                                                                                                                                                                                                                                                        </w:t>
            </w:r>
            <w:r w:rsidR="00A9033C">
              <w:rPr>
                <w:rFonts w:ascii="Garamond" w:eastAsia="Times New Roman" w:hAnsi="Garamond" w:cs="Arial"/>
                <w:color w:val="000000"/>
                <w:sz w:val="24"/>
                <w:szCs w:val="24"/>
                <w:lang w:eastAsia="es-ES"/>
              </w:rPr>
              <w:t>2.4</w:t>
            </w:r>
            <w:r>
              <w:rPr>
                <w:rFonts w:ascii="Garamond" w:eastAsia="Times New Roman" w:hAnsi="Garamond" w:cs="Arial"/>
                <w:color w:val="000000"/>
                <w:sz w:val="24"/>
                <w:szCs w:val="24"/>
                <w:lang w:eastAsia="es-ES"/>
              </w:rPr>
              <w:t xml:space="preserve">. Realizar proceso para solicitar al almacén  la creación de tercero - La FIPCAM  hace envió de RUT para la gestión </w:t>
            </w:r>
            <w:r w:rsidR="00A9033C" w:rsidRPr="00A9033C">
              <w:rPr>
                <w:rFonts w:ascii="Garamond" w:eastAsia="Times New Roman" w:hAnsi="Garamond" w:cs="Arial"/>
                <w:sz w:val="24"/>
                <w:szCs w:val="24"/>
                <w:lang w:eastAsia="es-ES"/>
              </w:rPr>
              <w:t>correspondiente</w:t>
            </w:r>
            <w:r w:rsidRPr="00A9033C">
              <w:rPr>
                <w:rFonts w:ascii="Garamond" w:eastAsia="Times New Roman" w:hAnsi="Garamond" w:cs="Arial"/>
                <w:sz w:val="24"/>
                <w:szCs w:val="24"/>
                <w:lang w:eastAsia="es-ES"/>
              </w:rPr>
              <w:t xml:space="preserve"> </w:t>
            </w:r>
            <w:r>
              <w:rPr>
                <w:rFonts w:ascii="Garamond" w:eastAsia="Times New Roman" w:hAnsi="Garamond" w:cs="Arial"/>
                <w:color w:val="000000"/>
                <w:sz w:val="24"/>
                <w:szCs w:val="24"/>
                <w:lang w:eastAsia="es-ES"/>
              </w:rPr>
              <w:t>y esta queda procesada por el Supervisor el día 06-02-2025</w:t>
            </w:r>
          </w:p>
          <w:p w:rsidR="00BD2464" w:rsidRDefault="00BD2464">
            <w:pPr>
              <w:spacing w:after="0" w:line="240" w:lineRule="auto"/>
              <w:rPr>
                <w:rFonts w:ascii="Garamond" w:eastAsia="Times New Roman" w:hAnsi="Garamond" w:cs="Arial"/>
                <w:color w:val="000000"/>
                <w:sz w:val="24"/>
                <w:szCs w:val="24"/>
                <w:lang w:eastAsia="es-ES"/>
              </w:rPr>
            </w:pPr>
          </w:p>
        </w:tc>
      </w:tr>
      <w:tr w:rsidR="00BD2464">
        <w:trPr>
          <w:trHeight w:val="705"/>
        </w:trPr>
        <w:tc>
          <w:tcPr>
            <w:tcW w:w="15393" w:type="dxa"/>
            <w:gridSpan w:val="16"/>
            <w:vMerge/>
            <w:tcBorders>
              <w:top w:val="single" w:sz="4" w:space="0" w:color="000000"/>
              <w:left w:val="single" w:sz="4" w:space="0" w:color="000000"/>
              <w:bottom w:val="single" w:sz="4" w:space="0" w:color="000000"/>
              <w:right w:val="single" w:sz="4" w:space="0" w:color="000000"/>
            </w:tcBorders>
            <w:vAlign w:val="center"/>
          </w:tcPr>
          <w:p w:rsidR="00BD2464" w:rsidRDefault="00BD2464">
            <w:pPr>
              <w:spacing w:after="0" w:line="240" w:lineRule="auto"/>
              <w:rPr>
                <w:rFonts w:ascii="Garamond" w:eastAsia="Times New Roman" w:hAnsi="Garamond" w:cs="Arial"/>
                <w:color w:val="000000"/>
                <w:sz w:val="24"/>
                <w:szCs w:val="24"/>
                <w:lang w:eastAsia="es-ES"/>
              </w:rPr>
            </w:pPr>
          </w:p>
        </w:tc>
      </w:tr>
      <w:tr w:rsidR="00BD2464">
        <w:trPr>
          <w:trHeight w:val="675"/>
        </w:trPr>
        <w:tc>
          <w:tcPr>
            <w:tcW w:w="15393" w:type="dxa"/>
            <w:gridSpan w:val="16"/>
            <w:vMerge/>
            <w:tcBorders>
              <w:top w:val="single" w:sz="4" w:space="0" w:color="000000"/>
              <w:left w:val="single" w:sz="4" w:space="0" w:color="000000"/>
              <w:bottom w:val="single" w:sz="4" w:space="0" w:color="auto"/>
              <w:right w:val="single" w:sz="4" w:space="0" w:color="000000"/>
            </w:tcBorders>
            <w:vAlign w:val="center"/>
          </w:tcPr>
          <w:p w:rsidR="00BD2464" w:rsidRDefault="00BD2464">
            <w:pPr>
              <w:spacing w:after="0" w:line="240" w:lineRule="auto"/>
              <w:rPr>
                <w:rFonts w:ascii="Garamond" w:eastAsia="Times New Roman" w:hAnsi="Garamond" w:cs="Arial"/>
                <w:color w:val="000000"/>
                <w:sz w:val="24"/>
                <w:szCs w:val="24"/>
                <w:lang w:eastAsia="es-ES"/>
              </w:rPr>
            </w:pPr>
          </w:p>
        </w:tc>
      </w:tr>
      <w:tr w:rsidR="00BD2464">
        <w:trPr>
          <w:trHeight w:val="930"/>
        </w:trPr>
        <w:tc>
          <w:tcPr>
            <w:tcW w:w="15393" w:type="dxa"/>
            <w:gridSpan w:val="16"/>
            <w:vMerge w:val="restart"/>
            <w:tcBorders>
              <w:top w:val="single" w:sz="4" w:space="0" w:color="auto"/>
              <w:left w:val="single" w:sz="4" w:space="0" w:color="auto"/>
              <w:bottom w:val="single" w:sz="4" w:space="0" w:color="auto"/>
              <w:right w:val="single" w:sz="4" w:space="0" w:color="auto"/>
            </w:tcBorders>
            <w:shd w:val="clear" w:color="FFFFFF" w:fill="FFFFFF"/>
            <w:vAlign w:val="center"/>
          </w:tcPr>
          <w:p w:rsidR="00BD2464" w:rsidRDefault="00BD2464">
            <w:pPr>
              <w:spacing w:after="0" w:line="240" w:lineRule="auto"/>
              <w:rPr>
                <w:rFonts w:ascii="Garamond" w:eastAsia="Times New Roman" w:hAnsi="Garamond" w:cs="Arial"/>
                <w:color w:val="000000"/>
                <w:sz w:val="24"/>
                <w:szCs w:val="24"/>
                <w:lang w:eastAsia="es-ES"/>
              </w:rPr>
            </w:pPr>
          </w:p>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3. Se procede a aclarar las inquietudes generadas por parte de la FIPCAM:</w:t>
            </w:r>
            <w:r>
              <w:rPr>
                <w:rFonts w:ascii="Garamond" w:eastAsia="Times New Roman" w:hAnsi="Garamond" w:cs="Arial"/>
                <w:color w:val="000000"/>
                <w:sz w:val="24"/>
                <w:szCs w:val="24"/>
                <w:lang w:eastAsia="es-ES"/>
              </w:rPr>
              <w:br/>
            </w:r>
            <w:r>
              <w:rPr>
                <w:rFonts w:ascii="Garamond" w:eastAsia="Times New Roman" w:hAnsi="Garamond" w:cs="Arial"/>
                <w:color w:val="000000"/>
                <w:sz w:val="24"/>
                <w:szCs w:val="24"/>
                <w:lang w:eastAsia="es-ES"/>
              </w:rPr>
              <w:br/>
              <w:t>3.1. En relación con la responsabilidad de quienes generan los diseños y la diagramación, El equipo de supervisión aclara que estas funciones están asignadas al equipo de comunicaciones del FDLT. Sin embargo el operador es responsable de enviar los contenidos para su respectiva producción a través de correo electrónico, detallando todos los aspectos que deben ser considerados para tal fin (fechas, direcciones, publicaciones, puntos de referencia, destinatarios, entre otros).                                                                                                                                                                                                                                                           3.2. Frente a la inquietud relacionada con la creación de algunos de los juegos incluidos en la Fase 5 – "Maleta de la Ciencia y el Juego para la Reconciliación", se sugiere verificar en la tienda "Juguetes Didácticos Pinocho" o en una tienda similar que comercialice estos productos, los cuales ya existen y tienen el enfoque necesario para el uso requerido.</w:t>
            </w:r>
          </w:p>
        </w:tc>
      </w:tr>
      <w:tr w:rsidR="00BD2464">
        <w:trPr>
          <w:trHeight w:val="1200"/>
        </w:trPr>
        <w:tc>
          <w:tcPr>
            <w:tcW w:w="15393" w:type="dxa"/>
            <w:gridSpan w:val="16"/>
            <w:vMerge/>
            <w:tcBorders>
              <w:top w:val="single" w:sz="4" w:space="0" w:color="000000"/>
              <w:left w:val="single" w:sz="4" w:space="0" w:color="auto"/>
              <w:bottom w:val="single" w:sz="4" w:space="0" w:color="auto"/>
              <w:right w:val="single" w:sz="4" w:space="0" w:color="auto"/>
            </w:tcBorders>
            <w:vAlign w:val="center"/>
          </w:tcPr>
          <w:p w:rsidR="00BD2464" w:rsidRDefault="00BD2464">
            <w:pPr>
              <w:spacing w:after="0" w:line="240" w:lineRule="auto"/>
              <w:rPr>
                <w:rFonts w:ascii="Garamond" w:eastAsia="Times New Roman" w:hAnsi="Garamond" w:cs="Arial"/>
                <w:color w:val="000000"/>
                <w:sz w:val="24"/>
                <w:szCs w:val="24"/>
                <w:lang w:eastAsia="es-ES"/>
              </w:rPr>
            </w:pPr>
          </w:p>
        </w:tc>
      </w:tr>
      <w:tr w:rsidR="00BD2464">
        <w:trPr>
          <w:trHeight w:val="3510"/>
        </w:trPr>
        <w:tc>
          <w:tcPr>
            <w:tcW w:w="15393" w:type="dxa"/>
            <w:gridSpan w:val="16"/>
            <w:tcBorders>
              <w:top w:val="single" w:sz="4" w:space="0" w:color="auto"/>
              <w:left w:val="single" w:sz="4" w:space="0" w:color="000000"/>
              <w:bottom w:val="nil"/>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4. Se realiza la presentación de los siguientes contenidos por parte de la FIPCAM:</w:t>
            </w:r>
            <w:r>
              <w:rPr>
                <w:rFonts w:ascii="Garamond" w:eastAsia="Times New Roman" w:hAnsi="Garamond" w:cs="Arial"/>
                <w:color w:val="000000"/>
                <w:sz w:val="24"/>
                <w:szCs w:val="24"/>
                <w:lang w:eastAsia="es-ES"/>
              </w:rPr>
              <w:br/>
            </w:r>
            <w:r>
              <w:rPr>
                <w:rFonts w:ascii="Garamond" w:eastAsia="Times New Roman" w:hAnsi="Garamond" w:cs="Arial"/>
                <w:color w:val="000000"/>
                <w:sz w:val="24"/>
                <w:szCs w:val="24"/>
                <w:lang w:eastAsia="es-ES"/>
              </w:rPr>
              <w:br/>
              <w:t xml:space="preserve">4.1. Plan Operativo del proyecto. </w:t>
            </w:r>
            <w:r>
              <w:rPr>
                <w:rFonts w:ascii="Garamond" w:eastAsia="Times New Roman" w:hAnsi="Garamond" w:cs="Arial"/>
                <w:color w:val="000000"/>
                <w:sz w:val="24"/>
                <w:szCs w:val="24"/>
                <w:lang w:eastAsia="es-ES"/>
              </w:rPr>
              <w:br/>
              <w:t xml:space="preserve">4.2. Cronograma de actividades. </w:t>
            </w:r>
            <w:r>
              <w:rPr>
                <w:rFonts w:ascii="Garamond" w:eastAsia="Times New Roman" w:hAnsi="Garamond" w:cs="Arial"/>
                <w:color w:val="000000"/>
                <w:sz w:val="24"/>
                <w:szCs w:val="24"/>
                <w:lang w:eastAsia="es-ES"/>
              </w:rPr>
              <w:br/>
              <w:t xml:space="preserve">4.3. Fichas Metodológicas para el desarrollo de las actividades del proyecto. </w:t>
            </w:r>
            <w:r>
              <w:rPr>
                <w:rFonts w:ascii="Garamond" w:eastAsia="Times New Roman" w:hAnsi="Garamond" w:cs="Arial"/>
                <w:color w:val="000000"/>
                <w:sz w:val="24"/>
                <w:szCs w:val="24"/>
                <w:lang w:eastAsia="es-ES"/>
              </w:rPr>
              <w:br/>
              <w:t xml:space="preserve">4.4. Propuesta de contenidos de las sesiones del Teatro del Oprimido </w:t>
            </w:r>
            <w:r>
              <w:rPr>
                <w:rFonts w:ascii="Garamond" w:eastAsia="Times New Roman" w:hAnsi="Garamond" w:cs="Arial"/>
                <w:color w:val="000000"/>
                <w:sz w:val="24"/>
                <w:szCs w:val="24"/>
                <w:lang w:eastAsia="es-ES"/>
              </w:rPr>
              <w:br/>
              <w:t>4.5. Propuesta metodológica y logística de la exposición Itinerante maleta de la ciencia y el juego para la reconciliación</w:t>
            </w:r>
            <w:r>
              <w:rPr>
                <w:rFonts w:ascii="Garamond" w:eastAsia="Times New Roman" w:hAnsi="Garamond" w:cs="Arial"/>
                <w:color w:val="000000"/>
                <w:sz w:val="24"/>
                <w:szCs w:val="24"/>
                <w:lang w:eastAsia="es-ES"/>
              </w:rPr>
              <w:br/>
              <w:t xml:space="preserve">4.6. Plan de difusión, convocatoria e inscripción del Proyecto, discriminado por actividades y eventos.                                                                                                                                                                                                                                                                                                                                                                                                                                                                             </w:t>
            </w:r>
          </w:p>
          <w:p w:rsidR="00BD2464" w:rsidRDefault="00BD2464">
            <w:pPr>
              <w:spacing w:after="0" w:line="240" w:lineRule="auto"/>
              <w:rPr>
                <w:rFonts w:ascii="Garamond" w:eastAsia="Times New Roman" w:hAnsi="Garamond" w:cs="Arial"/>
                <w:color w:val="000000"/>
                <w:sz w:val="24"/>
                <w:szCs w:val="24"/>
                <w:lang w:eastAsia="es-ES"/>
              </w:rPr>
            </w:pPr>
          </w:p>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Para lo anteriormente expuesto se generan algunas observaciones de forma, quedando como compromiso que se hará la revisión detallada de todos los documentos, con todo el equipo de supervisión y el día viernes 14 de Febrero, serán enviadas al operador en su totalidad de manera formal por correo electrónico, con el propósito de que estas sean subsanadas, para proceder con la aprobación y posterior aplicación de estas.</w:t>
            </w:r>
          </w:p>
        </w:tc>
      </w:tr>
      <w:tr w:rsidR="00BD2464">
        <w:trPr>
          <w:trHeight w:val="3765"/>
        </w:trPr>
        <w:tc>
          <w:tcPr>
            <w:tcW w:w="15393" w:type="dxa"/>
            <w:gridSpan w:val="16"/>
            <w:tcBorders>
              <w:top w:val="single" w:sz="4" w:space="0" w:color="000000"/>
              <w:left w:val="single" w:sz="4" w:space="0" w:color="000000"/>
              <w:bottom w:val="nil"/>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5. Se da continuidad al punto de varios:</w:t>
            </w:r>
            <w:r>
              <w:rPr>
                <w:rFonts w:ascii="Garamond" w:eastAsia="Times New Roman" w:hAnsi="Garamond" w:cs="Arial"/>
                <w:color w:val="000000"/>
                <w:sz w:val="24"/>
                <w:szCs w:val="24"/>
                <w:lang w:eastAsia="es-ES"/>
              </w:rPr>
              <w:br/>
            </w:r>
            <w:r>
              <w:rPr>
                <w:rFonts w:ascii="Garamond" w:eastAsia="Times New Roman" w:hAnsi="Garamond" w:cs="Arial"/>
                <w:color w:val="000000"/>
                <w:sz w:val="24"/>
                <w:szCs w:val="24"/>
                <w:lang w:eastAsia="es-ES"/>
              </w:rPr>
              <w:br/>
              <w:t>5.1. En este espacio se aclara el alcance del operador en relación con la Fase 3 – Escuela de Emociones y Acompañamiento Psicosocial del proyecto, el cual está únicamente sujeto a la entrega de los elementos detallados en la oferta económica del proyecto.</w:t>
            </w:r>
            <w:r>
              <w:rPr>
                <w:rFonts w:ascii="Garamond" w:eastAsia="Times New Roman" w:hAnsi="Garamond" w:cs="Arial"/>
                <w:color w:val="000000"/>
                <w:sz w:val="24"/>
                <w:szCs w:val="24"/>
                <w:lang w:eastAsia="es-ES"/>
              </w:rPr>
              <w:br/>
              <w:t>5.2. Se solicita que todas las gestiones realizadas por correo electrónico parte del operador la FIPCAM, sean copiadas al apoyo de supervisión, con el propósito de que la información que tenga el equipo de supervisión esté lo más actualizada posible.</w:t>
            </w:r>
            <w:r>
              <w:rPr>
                <w:rFonts w:ascii="Garamond" w:eastAsia="Times New Roman" w:hAnsi="Garamond" w:cs="Arial"/>
                <w:color w:val="000000"/>
                <w:sz w:val="24"/>
                <w:szCs w:val="24"/>
                <w:lang w:eastAsia="es-ES"/>
              </w:rPr>
              <w:br/>
              <w:t>5.3. Se plantea un plan B para iniciar con la formalización de las instituciones a focalizar, en caso de que la DILET no realice el envío de la información en la fecha establecida (07-02-2025). Para ello, se define generar un correo formal al equipo de la DILET y, posteriormente, realizar una visita directamente a la oficina, con el fin de obtener la autorización para abordar las instituciones y sus equipos, presentar el proyecto y proceder con la consecución de los grupos a beneficiar durante la ejecución.</w:t>
            </w:r>
            <w:r>
              <w:rPr>
                <w:rFonts w:ascii="Garamond" w:eastAsia="Times New Roman" w:hAnsi="Garamond" w:cs="Arial"/>
                <w:color w:val="000000"/>
                <w:sz w:val="24"/>
                <w:szCs w:val="24"/>
                <w:lang w:eastAsia="es-ES"/>
              </w:rPr>
              <w:br/>
              <w:t xml:space="preserve">5.4. </w:t>
            </w:r>
            <w:r w:rsidR="008F3EFB">
              <w:rPr>
                <w:rFonts w:ascii="Garamond" w:eastAsia="Times New Roman" w:hAnsi="Garamond" w:cs="Arial"/>
                <w:color w:val="000000"/>
                <w:sz w:val="24"/>
                <w:szCs w:val="24"/>
                <w:lang w:eastAsia="es-ES"/>
              </w:rPr>
              <w:t xml:space="preserve">Así </w:t>
            </w:r>
            <w:r>
              <w:rPr>
                <w:rFonts w:ascii="Garamond" w:eastAsia="Times New Roman" w:hAnsi="Garamond" w:cs="Arial"/>
                <w:color w:val="000000"/>
                <w:sz w:val="24"/>
                <w:szCs w:val="24"/>
                <w:lang w:eastAsia="es-ES"/>
              </w:rPr>
              <w:t>mismo se sugiere tener en cuenta un plan B para el caso de las sesiones de tres (3) horas en los colegios, dado que la ejecución se llevará a cabo en instituciones educativas del sector oficial, las cuales usualmente cuentan con horarios definidos de media jornada (6 horas). Esto tiene como fin establecer acuerdos que beneficien los cronogramas ya establecidos en cada una de las instituciones.</w:t>
            </w:r>
            <w:r>
              <w:rPr>
                <w:rFonts w:ascii="Garamond" w:eastAsia="Times New Roman" w:hAnsi="Garamond" w:cs="Arial"/>
                <w:color w:val="000000"/>
                <w:sz w:val="24"/>
                <w:szCs w:val="24"/>
                <w:lang w:eastAsia="es-ES"/>
              </w:rPr>
              <w:br/>
              <w:t>5.5. Se contempla la posibilidad de gestionar con el referente de presupuestos participativos las bases de datos de personas identificadas con alguna condición de discapacidad, con el propósito de que dos (2) de ellas sean tenidas en cuenta en el proceso de vinculación laboral para el cargo de auxiliar logístico.</w:t>
            </w:r>
            <w:r>
              <w:rPr>
                <w:rFonts w:ascii="Garamond" w:eastAsia="Times New Roman" w:hAnsi="Garamond" w:cs="Arial"/>
                <w:color w:val="000000"/>
                <w:sz w:val="24"/>
                <w:szCs w:val="24"/>
                <w:lang w:eastAsia="es-ES"/>
              </w:rPr>
              <w:br/>
              <w:t>5.6. Se contemplan reuniones extraordinarias virtuales previas al comité en los casos que sea necesario definir algún tema importante, teniendo en cuenta que ya estamos próximos a la fase de convocatoria y es probable que surjan situaciones que requieran atención urgente, con el fin de que el cronograma y el plan de trabajo no se vean afectados.</w:t>
            </w:r>
          </w:p>
        </w:tc>
      </w:tr>
      <w:tr w:rsidR="00BD2464">
        <w:trPr>
          <w:trHeight w:val="525"/>
        </w:trPr>
        <w:tc>
          <w:tcPr>
            <w:tcW w:w="15393" w:type="dxa"/>
            <w:gridSpan w:val="16"/>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525"/>
        </w:trPr>
        <w:tc>
          <w:tcPr>
            <w:tcW w:w="15393" w:type="dxa"/>
            <w:gridSpan w:val="16"/>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255"/>
        </w:trPr>
        <w:tc>
          <w:tcPr>
            <w:tcW w:w="576"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762"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21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428"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552"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944"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60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525"/>
        </w:trPr>
        <w:tc>
          <w:tcPr>
            <w:tcW w:w="15393" w:type="dxa"/>
            <w:gridSpan w:val="16"/>
            <w:tcBorders>
              <w:top w:val="nil"/>
              <w:left w:val="nil"/>
              <w:bottom w:val="nil"/>
              <w:right w:val="nil"/>
            </w:tcBorders>
            <w:shd w:val="clear" w:color="FFFFFF" w:fill="FFFFFF"/>
            <w:noWrap/>
            <w:vAlign w:val="bottom"/>
          </w:tcPr>
          <w:p w:rsidR="00BD2464" w:rsidRDefault="00BD2464">
            <w:pPr>
              <w:spacing w:after="0" w:line="240" w:lineRule="auto"/>
              <w:rPr>
                <w:rFonts w:ascii="Garamond" w:eastAsia="Times New Roman" w:hAnsi="Garamond" w:cs="Arial"/>
                <w:b/>
                <w:bCs/>
                <w:color w:val="000000"/>
                <w:sz w:val="40"/>
                <w:szCs w:val="40"/>
                <w:u w:val="single"/>
                <w:lang w:eastAsia="es-ES"/>
              </w:rPr>
            </w:pPr>
          </w:p>
          <w:p w:rsidR="00BD2464" w:rsidRDefault="0054101D">
            <w:pPr>
              <w:spacing w:after="0" w:line="240" w:lineRule="auto"/>
              <w:rPr>
                <w:rFonts w:ascii="Garamond" w:eastAsia="Times New Roman" w:hAnsi="Garamond" w:cs="Arial"/>
                <w:b/>
                <w:bCs/>
                <w:color w:val="000000"/>
                <w:sz w:val="40"/>
                <w:szCs w:val="40"/>
                <w:u w:val="single"/>
                <w:lang w:eastAsia="es-ES"/>
              </w:rPr>
            </w:pPr>
            <w:r>
              <w:rPr>
                <w:rFonts w:ascii="Garamond" w:eastAsia="Times New Roman" w:hAnsi="Garamond" w:cs="Arial"/>
                <w:b/>
                <w:bCs/>
                <w:color w:val="000000"/>
                <w:sz w:val="40"/>
                <w:szCs w:val="40"/>
                <w:u w:val="single"/>
                <w:lang w:eastAsia="es-ES"/>
              </w:rPr>
              <w:t>COMPROMISOS DE LA REUNIÓN:</w:t>
            </w:r>
          </w:p>
        </w:tc>
      </w:tr>
      <w:tr w:rsidR="00BD2464">
        <w:trPr>
          <w:trHeight w:val="525"/>
        </w:trPr>
        <w:tc>
          <w:tcPr>
            <w:tcW w:w="576"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1762"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121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1428"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1552"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2944"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c>
          <w:tcPr>
            <w:tcW w:w="260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40"/>
                <w:szCs w:val="40"/>
                <w:lang w:eastAsia="es-ES"/>
              </w:rPr>
            </w:pPr>
            <w:r>
              <w:rPr>
                <w:rFonts w:ascii="Garamond" w:eastAsia="Times New Roman" w:hAnsi="Garamond" w:cs="Arial"/>
                <w:color w:val="000000"/>
                <w:sz w:val="40"/>
                <w:szCs w:val="40"/>
                <w:lang w:eastAsia="es-ES"/>
              </w:rPr>
              <w:t> </w:t>
            </w:r>
          </w:p>
        </w:tc>
      </w:tr>
      <w:tr w:rsidR="00BD2464">
        <w:trPr>
          <w:trHeight w:val="1320"/>
        </w:trPr>
        <w:tc>
          <w:tcPr>
            <w:tcW w:w="57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32"/>
                <w:szCs w:val="32"/>
                <w:lang w:eastAsia="es-ES"/>
              </w:rPr>
            </w:pPr>
            <w:r>
              <w:rPr>
                <w:rFonts w:ascii="Garamond" w:eastAsia="Times New Roman" w:hAnsi="Garamond" w:cs="Arial"/>
                <w:b/>
                <w:bCs/>
                <w:color w:val="000000"/>
                <w:sz w:val="32"/>
                <w:szCs w:val="32"/>
                <w:lang w:eastAsia="es-ES"/>
              </w:rPr>
              <w:t>No.</w:t>
            </w:r>
          </w:p>
        </w:tc>
        <w:tc>
          <w:tcPr>
            <w:tcW w:w="9264" w:type="dxa"/>
            <w:gridSpan w:val="13"/>
            <w:tcBorders>
              <w:top w:val="single" w:sz="4" w:space="0" w:color="000000"/>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40"/>
                <w:szCs w:val="40"/>
                <w:lang w:eastAsia="es-ES"/>
              </w:rPr>
            </w:pPr>
            <w:r>
              <w:rPr>
                <w:rFonts w:ascii="Garamond" w:eastAsia="Times New Roman" w:hAnsi="Garamond" w:cs="Arial"/>
                <w:b/>
                <w:bCs/>
                <w:color w:val="000000"/>
                <w:sz w:val="40"/>
                <w:szCs w:val="40"/>
                <w:lang w:eastAsia="es-ES"/>
              </w:rPr>
              <w:t>ACTIVIDAD</w:t>
            </w:r>
          </w:p>
        </w:tc>
        <w:tc>
          <w:tcPr>
            <w:tcW w:w="2944" w:type="dxa"/>
            <w:tcBorders>
              <w:top w:val="single" w:sz="4" w:space="0" w:color="000000"/>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40"/>
                <w:szCs w:val="40"/>
                <w:lang w:eastAsia="es-ES"/>
              </w:rPr>
            </w:pPr>
            <w:r>
              <w:rPr>
                <w:rFonts w:ascii="Garamond" w:eastAsia="Times New Roman" w:hAnsi="Garamond" w:cs="Arial"/>
                <w:b/>
                <w:bCs/>
                <w:color w:val="000000"/>
                <w:sz w:val="40"/>
                <w:szCs w:val="40"/>
                <w:lang w:eastAsia="es-ES"/>
              </w:rPr>
              <w:t>RESPONSABLE</w:t>
            </w:r>
          </w:p>
        </w:tc>
        <w:tc>
          <w:tcPr>
            <w:tcW w:w="2609" w:type="dxa"/>
            <w:tcBorders>
              <w:top w:val="single" w:sz="4" w:space="0" w:color="000000"/>
              <w:left w:val="nil"/>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40"/>
                <w:szCs w:val="40"/>
                <w:lang w:eastAsia="es-ES"/>
              </w:rPr>
            </w:pPr>
            <w:r>
              <w:rPr>
                <w:rFonts w:ascii="Garamond" w:eastAsia="Times New Roman" w:hAnsi="Garamond" w:cs="Arial"/>
                <w:b/>
                <w:bCs/>
                <w:color w:val="000000"/>
                <w:sz w:val="40"/>
                <w:szCs w:val="40"/>
                <w:lang w:eastAsia="es-ES"/>
              </w:rPr>
              <w:t>FECHA DE ENTREGA</w:t>
            </w:r>
          </w:p>
        </w:tc>
      </w:tr>
      <w:tr w:rsidR="00BD2464">
        <w:trPr>
          <w:trHeight w:val="660"/>
        </w:trPr>
        <w:tc>
          <w:tcPr>
            <w:tcW w:w="576" w:type="dxa"/>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1</w:t>
            </w:r>
          </w:p>
        </w:tc>
        <w:tc>
          <w:tcPr>
            <w:tcW w:w="9264" w:type="dxa"/>
            <w:gridSpan w:val="13"/>
            <w:tcBorders>
              <w:top w:val="single" w:sz="4" w:space="0" w:color="000000"/>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Envió de la presentación de PowerPoint PPT que se utilizaría en la presentaciones públicas ante JAL y comunidad, para su respectiva verificación y aprobación</w:t>
            </w:r>
          </w:p>
        </w:tc>
        <w:tc>
          <w:tcPr>
            <w:tcW w:w="2944" w:type="dxa"/>
            <w:tcBorders>
              <w:top w:val="nil"/>
              <w:left w:val="single" w:sz="4" w:space="0" w:color="000000"/>
              <w:bottom w:val="single" w:sz="4" w:space="0" w:color="000000"/>
              <w:right w:val="nil"/>
            </w:tcBorders>
            <w:shd w:val="clear" w:color="FFFFFF" w:fill="FFFFFF"/>
            <w:vAlign w:val="center"/>
          </w:tcPr>
          <w:p w:rsidR="00BD2464" w:rsidRDefault="0054101D">
            <w:pPr>
              <w:spacing w:after="0" w:line="240" w:lineRule="auto"/>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Equipo de la FIPCAM</w:t>
            </w:r>
          </w:p>
        </w:tc>
        <w:tc>
          <w:tcPr>
            <w:tcW w:w="2609" w:type="dxa"/>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 </w:t>
            </w:r>
          </w:p>
        </w:tc>
      </w:tr>
      <w:tr w:rsidR="00BD2464">
        <w:trPr>
          <w:trHeight w:val="660"/>
        </w:trPr>
        <w:tc>
          <w:tcPr>
            <w:tcW w:w="576" w:type="dxa"/>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2</w:t>
            </w:r>
          </w:p>
        </w:tc>
        <w:tc>
          <w:tcPr>
            <w:tcW w:w="9264" w:type="dxa"/>
            <w:gridSpan w:val="13"/>
            <w:tcBorders>
              <w:top w:val="single" w:sz="4" w:space="0" w:color="000000"/>
              <w:left w:val="nil"/>
              <w:bottom w:val="nil"/>
              <w:right w:val="nil"/>
            </w:tcBorders>
            <w:shd w:val="clear" w:color="FFFFFF" w:fill="FFFFFF"/>
            <w:vAlign w:val="center"/>
          </w:tcPr>
          <w:p w:rsidR="00BD2464" w:rsidRDefault="00A9033C" w:rsidP="00A9033C">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Gestionar el envió de</w:t>
            </w:r>
            <w:r w:rsidR="0054101D">
              <w:rPr>
                <w:rFonts w:ascii="Garamond" w:eastAsia="Times New Roman" w:hAnsi="Garamond" w:cs="Arial"/>
                <w:color w:val="000000"/>
                <w:sz w:val="24"/>
                <w:szCs w:val="24"/>
                <w:lang w:eastAsia="es-ES"/>
              </w:rPr>
              <w:t xml:space="preserve">l </w:t>
            </w:r>
            <w:r w:rsidR="0054101D" w:rsidRPr="00A9033C">
              <w:rPr>
                <w:rFonts w:ascii="Garamond" w:eastAsia="Times New Roman" w:hAnsi="Garamond" w:cs="Arial"/>
                <w:sz w:val="24"/>
                <w:szCs w:val="24"/>
                <w:lang w:eastAsia="es-ES"/>
              </w:rPr>
              <w:t xml:space="preserve">manual </w:t>
            </w:r>
            <w:r w:rsidR="0054101D">
              <w:rPr>
                <w:rFonts w:ascii="Garamond" w:eastAsia="Times New Roman" w:hAnsi="Garamond" w:cs="Arial"/>
                <w:color w:val="000000"/>
                <w:sz w:val="24"/>
                <w:szCs w:val="24"/>
                <w:lang w:eastAsia="es-ES"/>
              </w:rPr>
              <w:t>de</w:t>
            </w:r>
            <w:r>
              <w:rPr>
                <w:rFonts w:ascii="Garamond" w:eastAsia="Times New Roman" w:hAnsi="Garamond" w:cs="Arial"/>
                <w:color w:val="000000"/>
                <w:sz w:val="24"/>
                <w:szCs w:val="24"/>
                <w:lang w:eastAsia="es-ES"/>
              </w:rPr>
              <w:t>l</w:t>
            </w:r>
            <w:r w:rsidR="0054101D">
              <w:rPr>
                <w:rFonts w:ascii="Garamond" w:eastAsia="Times New Roman" w:hAnsi="Garamond" w:cs="Arial"/>
                <w:color w:val="000000"/>
                <w:sz w:val="24"/>
                <w:szCs w:val="24"/>
                <w:lang w:eastAsia="es-ES"/>
              </w:rPr>
              <w:t xml:space="preserve"> marca de comunicaciones y prensa</w:t>
            </w:r>
            <w:r>
              <w:rPr>
                <w:rFonts w:ascii="Garamond" w:eastAsia="Times New Roman" w:hAnsi="Garamond" w:cs="Arial"/>
                <w:color w:val="000000"/>
                <w:sz w:val="24"/>
                <w:szCs w:val="24"/>
                <w:lang w:eastAsia="es-ES"/>
              </w:rPr>
              <w:t xml:space="preserve"> </w:t>
            </w:r>
            <w:r>
              <w:rPr>
                <w:rFonts w:ascii="Garamond" w:eastAsia="Times New Roman" w:hAnsi="Garamond" w:cs="Arial"/>
                <w:color w:val="000000"/>
                <w:sz w:val="24"/>
                <w:szCs w:val="24"/>
                <w:lang w:eastAsia="es-ES"/>
              </w:rPr>
              <w:t>del FDLT</w:t>
            </w:r>
          </w:p>
        </w:tc>
        <w:tc>
          <w:tcPr>
            <w:tcW w:w="2944" w:type="dxa"/>
            <w:tcBorders>
              <w:top w:val="nil"/>
              <w:left w:val="single" w:sz="4" w:space="0" w:color="000000"/>
              <w:bottom w:val="single" w:sz="4" w:space="0" w:color="000000"/>
              <w:right w:val="nil"/>
            </w:tcBorders>
            <w:shd w:val="clear" w:color="FFFFFF" w:fill="FFFFFF"/>
            <w:vAlign w:val="center"/>
          </w:tcPr>
          <w:p w:rsidR="00BD2464" w:rsidRDefault="0054101D">
            <w:pPr>
              <w:spacing w:after="0" w:line="240" w:lineRule="auto"/>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Apoyo Supervisión</w:t>
            </w:r>
          </w:p>
        </w:tc>
        <w:tc>
          <w:tcPr>
            <w:tcW w:w="2609" w:type="dxa"/>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 </w:t>
            </w:r>
          </w:p>
        </w:tc>
      </w:tr>
      <w:tr w:rsidR="00BD2464">
        <w:trPr>
          <w:trHeight w:val="660"/>
        </w:trPr>
        <w:tc>
          <w:tcPr>
            <w:tcW w:w="576" w:type="dxa"/>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3</w:t>
            </w:r>
          </w:p>
        </w:tc>
        <w:tc>
          <w:tcPr>
            <w:tcW w:w="9264" w:type="dxa"/>
            <w:gridSpan w:val="13"/>
            <w:tcBorders>
              <w:top w:val="single" w:sz="4" w:space="0" w:color="000000"/>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olor w:val="000000"/>
                <w:sz w:val="24"/>
                <w:szCs w:val="24"/>
                <w:lang w:eastAsia="es-ES"/>
              </w:rPr>
              <w:t>Envío de base de datos de los colegios distritales de la localidad de Tunjuelito por parte de la Alcaldía</w:t>
            </w:r>
          </w:p>
        </w:tc>
        <w:tc>
          <w:tcPr>
            <w:tcW w:w="2944" w:type="dxa"/>
            <w:tcBorders>
              <w:top w:val="nil"/>
              <w:left w:val="single" w:sz="4" w:space="0" w:color="000000"/>
              <w:bottom w:val="single" w:sz="4" w:space="0" w:color="000000"/>
              <w:right w:val="nil"/>
            </w:tcBorders>
            <w:shd w:val="clear" w:color="FFFFFF" w:fill="FFFFFF"/>
            <w:vAlign w:val="center"/>
          </w:tcPr>
          <w:p w:rsidR="00BD2464" w:rsidRDefault="0054101D">
            <w:pPr>
              <w:spacing w:after="0" w:line="240" w:lineRule="auto"/>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Apoyo Supervisión</w:t>
            </w:r>
          </w:p>
        </w:tc>
        <w:tc>
          <w:tcPr>
            <w:tcW w:w="2609" w:type="dxa"/>
            <w:tcBorders>
              <w:top w:val="nil"/>
              <w:left w:val="single" w:sz="4" w:space="0" w:color="000000"/>
              <w:bottom w:val="single" w:sz="4" w:space="0" w:color="000000"/>
              <w:right w:val="single" w:sz="4" w:space="0" w:color="000000"/>
            </w:tcBorders>
            <w:shd w:val="clear" w:color="FFFFFF" w:fill="FFFFFF"/>
            <w:vAlign w:val="center"/>
          </w:tcPr>
          <w:p w:rsidR="00BD2464" w:rsidRDefault="00BD2464">
            <w:pPr>
              <w:spacing w:after="0" w:line="240" w:lineRule="auto"/>
              <w:jc w:val="center"/>
              <w:rPr>
                <w:rFonts w:ascii="Garamond" w:eastAsia="Times New Roman" w:hAnsi="Garamond" w:cs="Arial"/>
                <w:b/>
                <w:bCs/>
                <w:color w:val="000000"/>
                <w:sz w:val="20"/>
                <w:szCs w:val="20"/>
                <w:lang w:eastAsia="es-ES"/>
              </w:rPr>
            </w:pPr>
          </w:p>
        </w:tc>
      </w:tr>
      <w:tr w:rsidR="00BD2464">
        <w:trPr>
          <w:trHeight w:val="660"/>
        </w:trPr>
        <w:tc>
          <w:tcPr>
            <w:tcW w:w="576" w:type="dxa"/>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4</w:t>
            </w:r>
          </w:p>
        </w:tc>
        <w:tc>
          <w:tcPr>
            <w:tcW w:w="9264" w:type="dxa"/>
            <w:gridSpan w:val="13"/>
            <w:tcBorders>
              <w:top w:val="single" w:sz="4" w:space="0" w:color="000000"/>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Enviar formato sugerido de asistencia, para su respectiva aprobación</w:t>
            </w:r>
          </w:p>
        </w:tc>
        <w:tc>
          <w:tcPr>
            <w:tcW w:w="2944" w:type="dxa"/>
            <w:tcBorders>
              <w:top w:val="nil"/>
              <w:left w:val="single" w:sz="4" w:space="0" w:color="000000"/>
              <w:bottom w:val="single" w:sz="4" w:space="0" w:color="000000"/>
              <w:right w:val="nil"/>
            </w:tcBorders>
            <w:shd w:val="clear" w:color="FFFFFF" w:fill="FFFFFF"/>
            <w:vAlign w:val="center"/>
          </w:tcPr>
          <w:p w:rsidR="00BD2464" w:rsidRDefault="0054101D">
            <w:pPr>
              <w:spacing w:after="0" w:line="240" w:lineRule="auto"/>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Equipo de la FIPCAM</w:t>
            </w:r>
          </w:p>
        </w:tc>
        <w:tc>
          <w:tcPr>
            <w:tcW w:w="2609" w:type="dxa"/>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 </w:t>
            </w:r>
          </w:p>
        </w:tc>
      </w:tr>
      <w:tr w:rsidR="00BD2464">
        <w:trPr>
          <w:trHeight w:val="660"/>
        </w:trPr>
        <w:tc>
          <w:tcPr>
            <w:tcW w:w="576" w:type="dxa"/>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5</w:t>
            </w:r>
          </w:p>
        </w:tc>
        <w:tc>
          <w:tcPr>
            <w:tcW w:w="9264" w:type="dxa"/>
            <w:gridSpan w:val="13"/>
            <w:tcBorders>
              <w:top w:val="single" w:sz="4" w:space="0" w:color="000000"/>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Convocar a comité extraordinario para definir co</w:t>
            </w:r>
            <w:bookmarkStart w:id="0" w:name="_GoBack"/>
            <w:bookmarkEnd w:id="0"/>
            <w:r>
              <w:rPr>
                <w:rFonts w:ascii="Garamond" w:eastAsia="Times New Roman" w:hAnsi="Garamond" w:cs="Arial"/>
                <w:color w:val="000000"/>
                <w:sz w:val="24"/>
                <w:szCs w:val="24"/>
                <w:lang w:eastAsia="es-ES"/>
              </w:rPr>
              <w:t xml:space="preserve">ntenido del pendón  de Rutas de atención </w:t>
            </w:r>
          </w:p>
        </w:tc>
        <w:tc>
          <w:tcPr>
            <w:tcW w:w="2944" w:type="dxa"/>
            <w:tcBorders>
              <w:top w:val="nil"/>
              <w:left w:val="single" w:sz="4" w:space="0" w:color="000000"/>
              <w:bottom w:val="single" w:sz="4" w:space="0" w:color="000000"/>
              <w:right w:val="nil"/>
            </w:tcBorders>
            <w:shd w:val="clear" w:color="FFFFFF" w:fill="FFFFFF"/>
            <w:vAlign w:val="center"/>
          </w:tcPr>
          <w:p w:rsidR="00BD2464" w:rsidRDefault="0054101D">
            <w:pPr>
              <w:spacing w:after="0" w:line="240" w:lineRule="auto"/>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Apoyo Supervisión</w:t>
            </w:r>
          </w:p>
        </w:tc>
        <w:tc>
          <w:tcPr>
            <w:tcW w:w="2609" w:type="dxa"/>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 </w:t>
            </w:r>
          </w:p>
        </w:tc>
      </w:tr>
      <w:tr w:rsidR="00BD2464">
        <w:trPr>
          <w:trHeight w:val="660"/>
        </w:trPr>
        <w:tc>
          <w:tcPr>
            <w:tcW w:w="576" w:type="dxa"/>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0"/>
                <w:szCs w:val="20"/>
                <w:lang w:eastAsia="es-ES"/>
              </w:rPr>
            </w:pPr>
            <w:r>
              <w:rPr>
                <w:rFonts w:ascii="Garamond" w:eastAsia="Times New Roman" w:hAnsi="Garamond" w:cs="Arial"/>
                <w:color w:val="000000"/>
                <w:sz w:val="20"/>
                <w:szCs w:val="20"/>
                <w:lang w:eastAsia="es-ES"/>
              </w:rPr>
              <w:t>6</w:t>
            </w:r>
          </w:p>
        </w:tc>
        <w:tc>
          <w:tcPr>
            <w:tcW w:w="9264" w:type="dxa"/>
            <w:gridSpan w:val="13"/>
            <w:tcBorders>
              <w:top w:val="single" w:sz="4" w:space="0" w:color="000000"/>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Envió de matriz financiera</w:t>
            </w:r>
          </w:p>
        </w:tc>
        <w:tc>
          <w:tcPr>
            <w:tcW w:w="2944" w:type="dxa"/>
            <w:tcBorders>
              <w:top w:val="nil"/>
              <w:left w:val="single" w:sz="4" w:space="0" w:color="000000"/>
              <w:bottom w:val="single" w:sz="4" w:space="0" w:color="000000"/>
              <w:right w:val="nil"/>
            </w:tcBorders>
            <w:shd w:val="clear" w:color="FFFFFF" w:fill="FFFFFF"/>
            <w:vAlign w:val="center"/>
          </w:tcPr>
          <w:p w:rsidR="00BD2464" w:rsidRDefault="0054101D">
            <w:pPr>
              <w:spacing w:after="0" w:line="240" w:lineRule="auto"/>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Equipo de la FIPCAM</w:t>
            </w:r>
          </w:p>
        </w:tc>
        <w:tc>
          <w:tcPr>
            <w:tcW w:w="2609" w:type="dxa"/>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 </w:t>
            </w:r>
          </w:p>
        </w:tc>
      </w:tr>
      <w:tr w:rsidR="00BD2464">
        <w:trPr>
          <w:trHeight w:val="660"/>
        </w:trPr>
        <w:tc>
          <w:tcPr>
            <w:tcW w:w="576" w:type="dxa"/>
            <w:tcBorders>
              <w:top w:val="nil"/>
              <w:left w:val="single" w:sz="4" w:space="0" w:color="000000"/>
              <w:bottom w:val="single" w:sz="4" w:space="0" w:color="000000"/>
              <w:right w:val="single" w:sz="4" w:space="0" w:color="000000"/>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val="en-US" w:eastAsia="es-ES"/>
              </w:rPr>
            </w:pPr>
            <w:r>
              <w:rPr>
                <w:rFonts w:ascii="Garamond" w:eastAsia="Times New Roman" w:hAnsi="Garamond" w:cs="Arial"/>
                <w:color w:val="000000"/>
                <w:sz w:val="20"/>
                <w:szCs w:val="20"/>
                <w:lang w:val="en-US" w:eastAsia="es-ES"/>
              </w:rPr>
              <w:t>7</w:t>
            </w:r>
          </w:p>
        </w:tc>
        <w:tc>
          <w:tcPr>
            <w:tcW w:w="9264" w:type="dxa"/>
            <w:gridSpan w:val="13"/>
            <w:tcBorders>
              <w:top w:val="single" w:sz="4" w:space="0" w:color="000000"/>
              <w:left w:val="nil"/>
              <w:bottom w:val="single" w:sz="4" w:space="0" w:color="auto"/>
              <w:right w:val="single" w:sz="4" w:space="0" w:color="000000"/>
            </w:tcBorders>
            <w:shd w:val="clear" w:color="FFFFFF" w:fill="FFFFFF"/>
            <w:vAlign w:val="center"/>
          </w:tcPr>
          <w:p w:rsidR="00BD2464" w:rsidRDefault="0054101D">
            <w:pPr>
              <w:spacing w:after="0" w:line="240" w:lineRule="auto"/>
              <w:rPr>
                <w:rFonts w:ascii="Garamond" w:eastAsia="Times New Roman" w:hAnsi="Garamond" w:cs="Arial"/>
                <w:color w:val="000000"/>
                <w:sz w:val="24"/>
                <w:szCs w:val="24"/>
                <w:lang w:eastAsia="es-ES"/>
              </w:rPr>
            </w:pPr>
            <w:r>
              <w:rPr>
                <w:rFonts w:ascii="Garamond" w:eastAsia="Times New Roman" w:hAnsi="Garamond" w:cs="Arial"/>
                <w:color w:val="000000"/>
                <w:sz w:val="24"/>
                <w:szCs w:val="24"/>
                <w:lang w:eastAsia="es-ES"/>
              </w:rPr>
              <w:t xml:space="preserve">Se define fecha del tercer comité el cual será programado para el día martes 04 de marzo a las 10:00 am </w:t>
            </w:r>
          </w:p>
        </w:tc>
        <w:tc>
          <w:tcPr>
            <w:tcW w:w="2944" w:type="dxa"/>
            <w:tcBorders>
              <w:top w:val="nil"/>
              <w:left w:val="nil"/>
              <w:bottom w:val="single" w:sz="4" w:space="0" w:color="000000"/>
              <w:right w:val="nil"/>
            </w:tcBorders>
            <w:shd w:val="clear" w:color="FFFFFF" w:fill="FFFFFF"/>
            <w:vAlign w:val="center"/>
          </w:tcPr>
          <w:p w:rsidR="00BD2464" w:rsidRDefault="0054101D">
            <w:pPr>
              <w:spacing w:after="0" w:line="240" w:lineRule="auto"/>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Apoyo Supervisión - Equipo de la FIPCAM</w:t>
            </w:r>
          </w:p>
        </w:tc>
        <w:tc>
          <w:tcPr>
            <w:tcW w:w="2609" w:type="dxa"/>
            <w:tcBorders>
              <w:top w:val="nil"/>
              <w:left w:val="single" w:sz="4" w:space="0" w:color="000000"/>
              <w:bottom w:val="single" w:sz="4" w:space="0" w:color="000000"/>
              <w:right w:val="single" w:sz="4" w:space="0" w:color="000000"/>
            </w:tcBorders>
            <w:shd w:val="clear" w:color="FFFFFF" w:fill="FFFFFF"/>
            <w:vAlign w:val="center"/>
          </w:tcPr>
          <w:p w:rsidR="00BD2464" w:rsidRDefault="0054101D">
            <w:pPr>
              <w:spacing w:after="0" w:line="240" w:lineRule="auto"/>
              <w:jc w:val="center"/>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04-mar-25</w:t>
            </w:r>
          </w:p>
        </w:tc>
      </w:tr>
      <w:tr w:rsidR="00BD2464">
        <w:trPr>
          <w:trHeight w:val="255"/>
        </w:trPr>
        <w:tc>
          <w:tcPr>
            <w:tcW w:w="576"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762"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211"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428"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552"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944" w:type="dxa"/>
            <w:tcBorders>
              <w:top w:val="nil"/>
              <w:left w:val="nil"/>
              <w:bottom w:val="nil"/>
              <w:right w:val="nil"/>
            </w:tcBorders>
            <w:shd w:val="clear" w:color="FFFFFF" w:fill="FFFFFF"/>
            <w:vAlign w:val="center"/>
          </w:tcPr>
          <w:p w:rsidR="00BD2464" w:rsidRDefault="0054101D">
            <w:pPr>
              <w:spacing w:after="0" w:line="240" w:lineRule="auto"/>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 </w:t>
            </w:r>
          </w:p>
        </w:tc>
        <w:tc>
          <w:tcPr>
            <w:tcW w:w="260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255"/>
        </w:trPr>
        <w:tc>
          <w:tcPr>
            <w:tcW w:w="6529" w:type="dxa"/>
            <w:gridSpan w:val="5"/>
            <w:tcBorders>
              <w:top w:val="nil"/>
              <w:left w:val="nil"/>
              <w:bottom w:val="nil"/>
              <w:right w:val="nil"/>
            </w:tcBorders>
            <w:shd w:val="clear" w:color="FFFFFF" w:fill="FFFFFF"/>
            <w:noWrap/>
            <w:vAlign w:val="bottom"/>
          </w:tcPr>
          <w:p w:rsidR="00BD2464" w:rsidRDefault="0054101D">
            <w:pPr>
              <w:spacing w:after="0" w:line="240" w:lineRule="auto"/>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NOTA 1</w:t>
            </w:r>
            <w:r>
              <w:rPr>
                <w:rFonts w:ascii="Garamond" w:eastAsia="Times New Roman" w:hAnsi="Garamond" w:cs="Arial"/>
                <w:color w:val="000000"/>
                <w:sz w:val="20"/>
                <w:szCs w:val="20"/>
                <w:lang w:eastAsia="es-ES"/>
              </w:rPr>
              <w:t xml:space="preserve">: </w:t>
            </w:r>
            <w:r>
              <w:rPr>
                <w:rFonts w:ascii="Garamond" w:eastAsia="Times New Roman" w:hAnsi="Garamond" w:cs="Arial"/>
                <w:b/>
                <w:bCs/>
                <w:color w:val="000000"/>
                <w:sz w:val="20"/>
                <w:szCs w:val="20"/>
                <w:lang w:eastAsia="es-ES"/>
              </w:rPr>
              <w:t>En caso de ser una reunión virtual se puede anexar el reporte de asistencia generado por las plataformas de reuniones o plataformas que generen formularios.</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944"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60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255"/>
        </w:trPr>
        <w:tc>
          <w:tcPr>
            <w:tcW w:w="4977" w:type="dxa"/>
            <w:gridSpan w:val="4"/>
            <w:tcBorders>
              <w:top w:val="nil"/>
              <w:left w:val="nil"/>
              <w:bottom w:val="nil"/>
              <w:right w:val="nil"/>
            </w:tcBorders>
            <w:shd w:val="clear" w:color="FFFFFF" w:fill="FFFFFF"/>
            <w:noWrap/>
            <w:vAlign w:val="bottom"/>
          </w:tcPr>
          <w:p w:rsidR="00BD2464" w:rsidRDefault="0054101D">
            <w:pPr>
              <w:spacing w:after="0" w:line="240" w:lineRule="auto"/>
              <w:rPr>
                <w:rFonts w:ascii="Garamond" w:eastAsia="Times New Roman" w:hAnsi="Garamond" w:cs="Arial"/>
                <w:b/>
                <w:bCs/>
                <w:color w:val="000000"/>
                <w:sz w:val="20"/>
                <w:szCs w:val="20"/>
                <w:lang w:eastAsia="es-ES"/>
              </w:rPr>
            </w:pPr>
            <w:r>
              <w:rPr>
                <w:rFonts w:ascii="Garamond" w:eastAsia="Times New Roman" w:hAnsi="Garamond" w:cs="Arial"/>
                <w:b/>
                <w:bCs/>
                <w:color w:val="000000"/>
                <w:sz w:val="20"/>
                <w:szCs w:val="20"/>
                <w:lang w:eastAsia="es-ES"/>
              </w:rPr>
              <w:t>NOTA 2: Agregue o elimine las filas que sean necesarias para registrar los asistentes y los compromisos de la reunión.</w:t>
            </w:r>
          </w:p>
        </w:tc>
        <w:tc>
          <w:tcPr>
            <w:tcW w:w="1552"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944"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60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255"/>
        </w:trPr>
        <w:tc>
          <w:tcPr>
            <w:tcW w:w="576"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762"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21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428"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552"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944"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60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255"/>
        </w:trPr>
        <w:tc>
          <w:tcPr>
            <w:tcW w:w="576"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762"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21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428"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552"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944"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60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r w:rsidR="00BD2464">
        <w:trPr>
          <w:trHeight w:val="255"/>
        </w:trPr>
        <w:tc>
          <w:tcPr>
            <w:tcW w:w="576"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762"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21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428"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1552"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51"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38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944"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c>
          <w:tcPr>
            <w:tcW w:w="2609" w:type="dxa"/>
            <w:tcBorders>
              <w:top w:val="nil"/>
              <w:left w:val="nil"/>
              <w:bottom w:val="nil"/>
              <w:right w:val="nil"/>
            </w:tcBorders>
            <w:shd w:val="clear" w:color="FFFFFF" w:fill="FFFFFF"/>
            <w:noWrap/>
            <w:vAlign w:val="center"/>
          </w:tcPr>
          <w:p w:rsidR="00BD2464" w:rsidRDefault="0054101D">
            <w:pPr>
              <w:spacing w:after="0" w:line="240" w:lineRule="auto"/>
              <w:jc w:val="center"/>
              <w:rPr>
                <w:rFonts w:ascii="Garamond" w:eastAsia="Times New Roman" w:hAnsi="Garamond" w:cs="Arial"/>
                <w:color w:val="000000"/>
                <w:sz w:val="20"/>
                <w:szCs w:val="20"/>
                <w:lang w:eastAsia="es-ES"/>
              </w:rPr>
            </w:pPr>
            <w:r>
              <w:rPr>
                <w:rFonts w:ascii="Garamond" w:eastAsia="Times New Roman" w:hAnsi="Garamond" w:cs="Arial"/>
                <w:color w:val="000000"/>
                <w:sz w:val="20"/>
                <w:szCs w:val="20"/>
                <w:lang w:eastAsia="es-ES"/>
              </w:rPr>
              <w:t> </w:t>
            </w:r>
          </w:p>
        </w:tc>
      </w:tr>
    </w:tbl>
    <w:p w:rsidR="00BD2464" w:rsidRDefault="00BD2464"/>
    <w:sectPr w:rsidR="00BD2464">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5A7" w:rsidRDefault="009115A7">
      <w:pPr>
        <w:spacing w:line="240" w:lineRule="auto"/>
      </w:pPr>
      <w:r>
        <w:separator/>
      </w:r>
    </w:p>
  </w:endnote>
  <w:endnote w:type="continuationSeparator" w:id="0">
    <w:p w:rsidR="009115A7" w:rsidRDefault="009115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5A7" w:rsidRDefault="009115A7">
      <w:pPr>
        <w:spacing w:after="0"/>
      </w:pPr>
      <w:r>
        <w:separator/>
      </w:r>
    </w:p>
  </w:footnote>
  <w:footnote w:type="continuationSeparator" w:id="0">
    <w:p w:rsidR="009115A7" w:rsidRDefault="009115A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7C4"/>
    <w:rsid w:val="0054101D"/>
    <w:rsid w:val="005F17C4"/>
    <w:rsid w:val="00665B0C"/>
    <w:rsid w:val="006B2351"/>
    <w:rsid w:val="008F3EFB"/>
    <w:rsid w:val="0090689D"/>
    <w:rsid w:val="009115A7"/>
    <w:rsid w:val="00A9033C"/>
    <w:rsid w:val="00BD2464"/>
    <w:rsid w:val="5B9D4885"/>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0522489E-804B-4F3C-8685-2920F019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vanessanovoa@albertomerani.or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fabiangonzalez@albertomerani.org" TargetMode="External"/><Relationship Id="rId4" Type="http://schemas.openxmlformats.org/officeDocument/2006/relationships/webSettings" Target="webSettings.xml"/><Relationship Id="rId9" Type="http://schemas.openxmlformats.org/officeDocument/2006/relationships/hyperlink" Target="mailto:andrealeon@albertomerani.org"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E6A8B-3A4A-4B53-85F7-6D76ED72B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2164</Words>
  <Characters>11906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14042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PT0237</dc:creator>
  <cp:lastModifiedBy>PT0237</cp:lastModifiedBy>
  <cp:revision>3</cp:revision>
  <dcterms:created xsi:type="dcterms:W3CDTF">2025-02-11T20:30:00Z</dcterms:created>
  <dcterms:modified xsi:type="dcterms:W3CDTF">2025-02-20T21:42:00Z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3082-12.2.0.19805</vt:lpwstr>
  </property>
  <property fmtid="{D5CDD505-2E9C-101B-9397-08002B2CF9AE}" pid="3" name="ICV">
    <vt:lpwstr>604BAEB606B14174834580274D7BE069_12</vt:lpwstr>
  </property>
</Properties>
</file>